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EF56E" w14:textId="008B6103" w:rsidR="00366E6F" w:rsidRDefault="00366E6F" w:rsidP="00CA17FC">
      <w:pPr>
        <w:pStyle w:val="Ttulo2"/>
      </w:pPr>
      <w:r w:rsidRPr="00366E6F">
        <w:rPr>
          <w:noProof/>
        </w:rPr>
        <mc:AlternateContent>
          <mc:Choice Requires="wps">
            <w:drawing>
              <wp:anchor distT="0" distB="0" distL="114300" distR="114300" simplePos="0" relativeHeight="251658240" behindDoc="0" locked="1" layoutInCell="1" allowOverlap="0" wp14:anchorId="035FDC2D" wp14:editId="53FA0186">
                <wp:simplePos x="0" y="0"/>
                <wp:positionH relativeFrom="page">
                  <wp:posOffset>5524500</wp:posOffset>
                </wp:positionH>
                <wp:positionV relativeFrom="page">
                  <wp:posOffset>2238375</wp:posOffset>
                </wp:positionV>
                <wp:extent cx="2571750" cy="197040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571750" cy="1970405"/>
                        </a:xfrm>
                        <a:prstGeom prst="rect">
                          <a:avLst/>
                        </a:prstGeom>
                        <a:noFill/>
                        <a:ln w="6350">
                          <a:noFill/>
                        </a:ln>
                      </wps:spPr>
                      <wps:txbx>
                        <w:txbxContent>
                          <w:p w14:paraId="250D8D5A" w14:textId="44B34E4A" w:rsidR="002776AA" w:rsidRPr="00020FBF" w:rsidRDefault="002776AA" w:rsidP="00AC0DB7">
                            <w:pPr>
                              <w:pStyle w:val="RaznReseaHumphreys"/>
                              <w:rPr>
                                <w:rFonts w:ascii="Verdana" w:eastAsia="Times New Roman" w:hAnsi="Verdana" w:cs="Times New Roman"/>
                                <w:sz w:val="20"/>
                                <w:szCs w:val="20"/>
                                <w:lang w:val="es-ES" w:eastAsia="es-ES"/>
                              </w:rPr>
                            </w:pPr>
                          </w:p>
                          <w:p w14:paraId="7A34C0C2" w14:textId="77777777" w:rsidR="002776AA" w:rsidRPr="007D343C" w:rsidRDefault="002776AA" w:rsidP="00CA17FC">
                            <w:pPr>
                              <w:pStyle w:val="RaznReseaHumphreys"/>
                            </w:pPr>
                          </w:p>
                          <w:p w14:paraId="06E8E890" w14:textId="77777777" w:rsidR="002776AA" w:rsidRPr="007D343C" w:rsidRDefault="002776AA" w:rsidP="00CA17FC">
                            <w:pPr>
                              <w:pStyle w:val="RaznReseaHumphrey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FDC2D" id="_x0000_t202" coordsize="21600,21600" o:spt="202" path="m,l,21600r21600,l21600,xe">
                <v:stroke joinstyle="miter"/>
                <v:path gradientshapeok="t" o:connecttype="rect"/>
              </v:shapetype>
              <v:shape id="Cuadro de texto 5" o:spid="_x0000_s1026" type="#_x0000_t202" style="position:absolute;left:0;text-align:left;margin-left:435pt;margin-top:176.25pt;width:202.5pt;height:15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" o:allowoverlap="f" filled="f" stroked="f" strokeweight=".5pt">
                <v:textbox>
                  <w:txbxContent>
                    <w:p w14:paraId="250D8D5A" w14:textId="44B34E4A" w:rsidR="002776AA" w:rsidRPr="00020FBF" w:rsidRDefault="002776AA" w:rsidP="00AC0DB7">
                      <w:pPr>
                        <w:pStyle w:val="RaznReseaHumphreys"/>
                        <w:rPr>
                          <w:rFonts w:ascii="Verdana" w:eastAsia="Times New Roman" w:hAnsi="Verdana" w:cs="Times New Roman"/>
                          <w:sz w:val="20"/>
                          <w:szCs w:val="20"/>
                          <w:lang w:val="es-ES" w:eastAsia="es-ES"/>
                        </w:rPr>
                      </w:pPr>
                    </w:p>
                    <w:p w14:paraId="7A34C0C2" w14:textId="77777777" w:rsidR="002776AA" w:rsidRPr="007D343C" w:rsidRDefault="002776AA" w:rsidP="00CA17FC">
                      <w:pPr>
                        <w:pStyle w:val="RaznReseaHumphreys"/>
                      </w:pPr>
                    </w:p>
                    <w:p w14:paraId="06E8E890" w14:textId="77777777" w:rsidR="002776AA" w:rsidRPr="007D343C" w:rsidRDefault="002776AA" w:rsidP="00CA17FC">
                      <w:pPr>
                        <w:pStyle w:val="RaznReseaHumphreys"/>
                      </w:pPr>
                    </w:p>
                  </w:txbxContent>
                </v:textbox>
                <w10:wrap anchorx="page" anchory="page"/>
                <w10:anchorlock/>
              </v:shape>
            </w:pict>
          </mc:Fallback>
        </mc:AlternateContent>
      </w:r>
      <w:r w:rsidR="006822F6" w:rsidRPr="00366E6F">
        <w:rPr>
          <w:noProof/>
        </w:rPr>
        <mc:AlternateContent>
          <mc:Choice Requires="wps">
            <w:drawing>
              <wp:anchor distT="0" distB="0" distL="114300" distR="114300" simplePos="0" relativeHeight="251658242" behindDoc="0" locked="1" layoutInCell="1" allowOverlap="0" wp14:anchorId="3F521AD1" wp14:editId="100E350C">
                <wp:simplePos x="0" y="0"/>
                <wp:positionH relativeFrom="page">
                  <wp:posOffset>5577840</wp:posOffset>
                </wp:positionH>
                <wp:positionV relativeFrom="page">
                  <wp:posOffset>8012430</wp:posOffset>
                </wp:positionV>
                <wp:extent cx="2266950" cy="11531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266950" cy="1153160"/>
                        </a:xfrm>
                        <a:prstGeom prst="rect">
                          <a:avLst/>
                        </a:prstGeom>
                        <a:noFill/>
                        <a:ln w="6350">
                          <a:noFill/>
                        </a:ln>
                      </wps:spPr>
                      <wps:txbx>
                        <w:txbxContent>
                          <w:p w14:paraId="48122CB2" w14:textId="5E009199" w:rsidR="006822F6" w:rsidRDefault="006822F6" w:rsidP="00366E6F">
                            <w:pPr>
                              <w:rPr>
                                <w:color w:val="FFFFFF" w:themeColor="background1"/>
                                <w:lang w:val="es-ES"/>
                              </w:rPr>
                            </w:pPr>
                            <w:r>
                              <w:rPr>
                                <w:color w:val="FFFFFF" w:themeColor="background1"/>
                                <w:lang w:val="es-ES"/>
                              </w:rPr>
                              <w:t>FECHA</w:t>
                            </w:r>
                          </w:p>
                          <w:p w14:paraId="56DE7C36" w14:textId="4F3124D7" w:rsidR="008C362F" w:rsidRPr="00B03E32" w:rsidRDefault="00A6350F" w:rsidP="00366E6F">
                            <w:pPr>
                              <w:rPr>
                                <w:color w:val="FFFFFF" w:themeColor="background1"/>
                                <w:lang w:val="es-ES"/>
                              </w:rPr>
                            </w:pPr>
                            <w:r>
                              <w:rPr>
                                <w:color w:val="FFFFFF" w:themeColor="background1"/>
                                <w:lang w:val="es-ES"/>
                              </w:rPr>
                              <w:t>Enero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1AD1" id="Cuadro de texto 7" o:spid="_x0000_s1027" type="#_x0000_t202" style="position:absolute;left:0;text-align:left;margin-left:439.2pt;margin-top:630.9pt;width:178.5pt;height:90.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BtGQIAADQEAAAOAAAAZHJzL2Uyb0RvYy54bWysU01vGyEQvVfqf0Dc6/U6t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" o:allowoverlap="f" filled="f" stroked="f" strokeweight=".5pt">
                <v:textbox>
                  <w:txbxContent>
                    <w:p w14:paraId="48122CB2" w14:textId="5E009199" w:rsidR="006822F6" w:rsidRDefault="006822F6" w:rsidP="00366E6F">
                      <w:pPr>
                        <w:rPr>
                          <w:color w:val="FFFFFF" w:themeColor="background1"/>
                          <w:lang w:val="es-ES"/>
                        </w:rPr>
                      </w:pPr>
                      <w:r>
                        <w:rPr>
                          <w:color w:val="FFFFFF" w:themeColor="background1"/>
                          <w:lang w:val="es-ES"/>
                        </w:rPr>
                        <w:t>FECHA</w:t>
                      </w:r>
                    </w:p>
                    <w:p w14:paraId="56DE7C36" w14:textId="4F3124D7" w:rsidR="008C362F" w:rsidRPr="00B03E32" w:rsidRDefault="00A6350F" w:rsidP="00366E6F">
                      <w:pPr>
                        <w:rPr>
                          <w:color w:val="FFFFFF" w:themeColor="background1"/>
                          <w:lang w:val="es-ES"/>
                        </w:rPr>
                      </w:pPr>
                      <w:r>
                        <w:rPr>
                          <w:color w:val="FFFFFF" w:themeColor="background1"/>
                          <w:lang w:val="es-ES"/>
                        </w:rPr>
                        <w:t>Enero 2023</w:t>
                      </w:r>
                    </w:p>
                  </w:txbxContent>
                </v:textbox>
                <w10:wrap anchorx="page" anchory="page"/>
                <w10:anchorlock/>
              </v:shape>
            </w:pict>
          </mc:Fallback>
        </mc:AlternateContent>
      </w:r>
      <w:r w:rsidR="006822F6" w:rsidRPr="00366E6F">
        <w:rPr>
          <w:noProof/>
        </w:rPr>
        <mc:AlternateContent>
          <mc:Choice Requires="wps">
            <w:drawing>
              <wp:anchor distT="0" distB="0" distL="114300" distR="114300" simplePos="0" relativeHeight="251658241" behindDoc="0" locked="1" layoutInCell="1" allowOverlap="0" wp14:anchorId="6250A93B" wp14:editId="0C15BF6A">
                <wp:simplePos x="0" y="0"/>
                <wp:positionH relativeFrom="page">
                  <wp:posOffset>5582920</wp:posOffset>
                </wp:positionH>
                <wp:positionV relativeFrom="page">
                  <wp:posOffset>6639560</wp:posOffset>
                </wp:positionV>
                <wp:extent cx="2266950" cy="11531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66950" cy="1153160"/>
                        </a:xfrm>
                        <a:prstGeom prst="rect">
                          <a:avLst/>
                        </a:prstGeom>
                        <a:noFill/>
                        <a:ln w="6350">
                          <a:noFill/>
                        </a:ln>
                      </wps:spPr>
                      <wps:txbx>
                        <w:txbxContent>
                          <w:p w14:paraId="03C81BA6" w14:textId="43C3CE19" w:rsidR="002776AA" w:rsidRDefault="002776AA" w:rsidP="00366E6F">
                            <w:pPr>
                              <w:rPr>
                                <w:color w:val="FFFFFF" w:themeColor="background1"/>
                                <w:lang w:val="es-ES"/>
                              </w:rPr>
                            </w:pPr>
                            <w:r>
                              <w:rPr>
                                <w:color w:val="FFFFFF" w:themeColor="background1"/>
                                <w:lang w:val="es-ES"/>
                              </w:rPr>
                              <w:t>ANALISTAS:</w:t>
                            </w:r>
                          </w:p>
                          <w:p w14:paraId="24890F58" w14:textId="4E813140" w:rsidR="00EF2C69" w:rsidRDefault="00F0440D" w:rsidP="00366E6F">
                            <w:pPr>
                              <w:rPr>
                                <w:color w:val="FFFFFF" w:themeColor="background1"/>
                                <w:lang w:val="es-ES"/>
                              </w:rPr>
                            </w:pPr>
                            <w:r>
                              <w:rPr>
                                <w:color w:val="FFFFFF" w:themeColor="background1"/>
                                <w:lang w:val="es-ES"/>
                              </w:rPr>
                              <w:t>Nadia</w:t>
                            </w:r>
                            <w:r w:rsidR="00635A4E">
                              <w:rPr>
                                <w:color w:val="FFFFFF" w:themeColor="background1"/>
                                <w:lang w:val="es-ES"/>
                              </w:rPr>
                              <w:t xml:space="preserve"> Ara</w:t>
                            </w:r>
                            <w:r>
                              <w:rPr>
                                <w:color w:val="FFFFFF" w:themeColor="background1"/>
                                <w:lang w:val="es-ES"/>
                              </w:rPr>
                              <w:t>vena</w:t>
                            </w:r>
                            <w:r w:rsidR="00635A4E">
                              <w:rPr>
                                <w:color w:val="FFFFFF" w:themeColor="background1"/>
                                <w:lang w:val="es-ES"/>
                              </w:rPr>
                              <w:t xml:space="preserve"> </w:t>
                            </w:r>
                            <w:r>
                              <w:rPr>
                                <w:color w:val="FFFFFF" w:themeColor="background1"/>
                                <w:lang w:val="es-ES"/>
                              </w:rPr>
                              <w:t>G</w:t>
                            </w:r>
                            <w:r w:rsidR="00A6350F">
                              <w:rPr>
                                <w:color w:val="FFFFFF" w:themeColor="background1"/>
                                <w:lang w:val="es-ES"/>
                              </w:rPr>
                              <w:t>onzález</w:t>
                            </w:r>
                          </w:p>
                          <w:p w14:paraId="49C66B2D" w14:textId="391E5F36" w:rsidR="002776AA" w:rsidRDefault="005216CC" w:rsidP="00366E6F">
                            <w:pPr>
                              <w:rPr>
                                <w:color w:val="FFFFFF" w:themeColor="background1"/>
                                <w:lang w:val="es-ES"/>
                              </w:rPr>
                            </w:pPr>
                            <w:r>
                              <w:rPr>
                                <w:color w:val="FFFFFF" w:themeColor="background1"/>
                                <w:lang w:val="es-ES"/>
                              </w:rPr>
                              <w:t>Hernán Jiménez Aguayo</w:t>
                            </w:r>
                          </w:p>
                          <w:p w14:paraId="05D9E426" w14:textId="7BB858FD" w:rsidR="005216CC" w:rsidRPr="00A6350F" w:rsidRDefault="00F0440D" w:rsidP="00366E6F">
                            <w:pPr>
                              <w:rPr>
                                <w:color w:val="FFFFFF" w:themeColor="background1"/>
                                <w:lang w:val="es-ES"/>
                              </w:rPr>
                            </w:pPr>
                            <w:r w:rsidRPr="00A6350F">
                              <w:rPr>
                                <w:color w:val="FFFFFF" w:themeColor="background1"/>
                                <w:lang w:val="es-ES"/>
                              </w:rPr>
                              <w:t>nadia</w:t>
                            </w:r>
                            <w:r w:rsidR="00E53F97" w:rsidRPr="00A6350F">
                              <w:rPr>
                                <w:color w:val="FFFFFF" w:themeColor="background1"/>
                                <w:lang w:val="es-ES"/>
                              </w:rPr>
                              <w:t>.ara</w:t>
                            </w:r>
                            <w:r w:rsidRPr="00A6350F">
                              <w:rPr>
                                <w:color w:val="FFFFFF" w:themeColor="background1"/>
                                <w:lang w:val="es-ES"/>
                              </w:rPr>
                              <w:t>vena</w:t>
                            </w:r>
                            <w:r w:rsidR="008F43BA" w:rsidRPr="00A6350F">
                              <w:rPr>
                                <w:color w:val="FFFFFF" w:themeColor="background1"/>
                                <w:lang w:val="es-ES"/>
                              </w:rPr>
                              <w:t>@humphreys.cl</w:t>
                            </w:r>
                            <w:r w:rsidR="006C210F" w:rsidRPr="00A6350F">
                              <w:rPr>
                                <w:color w:val="FFFFFF" w:themeColor="background1"/>
                                <w:lang w:val="es-ES"/>
                              </w:rPr>
                              <w:t xml:space="preserve"> h</w:t>
                            </w:r>
                            <w:r w:rsidR="005216CC" w:rsidRPr="00A6350F">
                              <w:rPr>
                                <w:color w:val="FFFFFF" w:themeColor="background1"/>
                                <w:lang w:val="es-ES"/>
                              </w:rPr>
                              <w:t>ernan.jimenez@humphreys.cl</w:t>
                            </w:r>
                          </w:p>
                          <w:p w14:paraId="32B10364" w14:textId="77777777" w:rsidR="002776AA" w:rsidRPr="00B03E32" w:rsidRDefault="002776AA" w:rsidP="00366E6F">
                            <w:pPr>
                              <w:rPr>
                                <w:color w:val="FFFFFF" w:themeColor="background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A93B" id="Cuadro de texto 8" o:spid="_x0000_s1028" type="#_x0000_t202" style="position:absolute;left:0;text-align:left;margin-left:439.6pt;margin-top:522.8pt;width:178.5pt;height:90.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lHJGgIAADQEAAAOAAAAZHJzL2Uyb0RvYy54bWysU01vGyEQvVfqf0Dc6/U6t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" o:allowoverlap="f" filled="f" stroked="f" strokeweight=".5pt">
                <v:textbox>
                  <w:txbxContent>
                    <w:p w14:paraId="03C81BA6" w14:textId="43C3CE19" w:rsidR="002776AA" w:rsidRDefault="002776AA" w:rsidP="00366E6F">
                      <w:pPr>
                        <w:rPr>
                          <w:color w:val="FFFFFF" w:themeColor="background1"/>
                          <w:lang w:val="es-ES"/>
                        </w:rPr>
                      </w:pPr>
                      <w:r>
                        <w:rPr>
                          <w:color w:val="FFFFFF" w:themeColor="background1"/>
                          <w:lang w:val="es-ES"/>
                        </w:rPr>
                        <w:t>ANALISTAS:</w:t>
                      </w:r>
                    </w:p>
                    <w:p w14:paraId="24890F58" w14:textId="4E813140" w:rsidR="00EF2C69" w:rsidRDefault="00F0440D" w:rsidP="00366E6F">
                      <w:pPr>
                        <w:rPr>
                          <w:color w:val="FFFFFF" w:themeColor="background1"/>
                          <w:lang w:val="es-ES"/>
                        </w:rPr>
                      </w:pPr>
                      <w:r>
                        <w:rPr>
                          <w:color w:val="FFFFFF" w:themeColor="background1"/>
                          <w:lang w:val="es-ES"/>
                        </w:rPr>
                        <w:t>Nadia</w:t>
                      </w:r>
                      <w:r w:rsidR="00635A4E">
                        <w:rPr>
                          <w:color w:val="FFFFFF" w:themeColor="background1"/>
                          <w:lang w:val="es-ES"/>
                        </w:rPr>
                        <w:t xml:space="preserve"> Ara</w:t>
                      </w:r>
                      <w:r>
                        <w:rPr>
                          <w:color w:val="FFFFFF" w:themeColor="background1"/>
                          <w:lang w:val="es-ES"/>
                        </w:rPr>
                        <w:t>vena</w:t>
                      </w:r>
                      <w:r w:rsidR="00635A4E">
                        <w:rPr>
                          <w:color w:val="FFFFFF" w:themeColor="background1"/>
                          <w:lang w:val="es-ES"/>
                        </w:rPr>
                        <w:t xml:space="preserve"> </w:t>
                      </w:r>
                      <w:r>
                        <w:rPr>
                          <w:color w:val="FFFFFF" w:themeColor="background1"/>
                          <w:lang w:val="es-ES"/>
                        </w:rPr>
                        <w:t>G</w:t>
                      </w:r>
                      <w:r w:rsidR="00A6350F">
                        <w:rPr>
                          <w:color w:val="FFFFFF" w:themeColor="background1"/>
                          <w:lang w:val="es-ES"/>
                        </w:rPr>
                        <w:t>onzález</w:t>
                      </w:r>
                    </w:p>
                    <w:p w14:paraId="49C66B2D" w14:textId="391E5F36" w:rsidR="002776AA" w:rsidRDefault="005216CC" w:rsidP="00366E6F">
                      <w:pPr>
                        <w:rPr>
                          <w:color w:val="FFFFFF" w:themeColor="background1"/>
                          <w:lang w:val="es-ES"/>
                        </w:rPr>
                      </w:pPr>
                      <w:r>
                        <w:rPr>
                          <w:color w:val="FFFFFF" w:themeColor="background1"/>
                          <w:lang w:val="es-ES"/>
                        </w:rPr>
                        <w:t>Hernán Jiménez Aguayo</w:t>
                      </w:r>
                    </w:p>
                    <w:p w14:paraId="05D9E426" w14:textId="7BB858FD" w:rsidR="005216CC" w:rsidRPr="00A6350F" w:rsidRDefault="00F0440D" w:rsidP="00366E6F">
                      <w:pPr>
                        <w:rPr>
                          <w:color w:val="FFFFFF" w:themeColor="background1"/>
                          <w:lang w:val="es-ES"/>
                        </w:rPr>
                      </w:pPr>
                      <w:r w:rsidRPr="00A6350F">
                        <w:rPr>
                          <w:color w:val="FFFFFF" w:themeColor="background1"/>
                          <w:lang w:val="es-ES"/>
                        </w:rPr>
                        <w:t>nadia</w:t>
                      </w:r>
                      <w:r w:rsidR="00E53F97" w:rsidRPr="00A6350F">
                        <w:rPr>
                          <w:color w:val="FFFFFF" w:themeColor="background1"/>
                          <w:lang w:val="es-ES"/>
                        </w:rPr>
                        <w:t>.ara</w:t>
                      </w:r>
                      <w:r w:rsidRPr="00A6350F">
                        <w:rPr>
                          <w:color w:val="FFFFFF" w:themeColor="background1"/>
                          <w:lang w:val="es-ES"/>
                        </w:rPr>
                        <w:t>vena</w:t>
                      </w:r>
                      <w:r w:rsidR="008F43BA" w:rsidRPr="00A6350F">
                        <w:rPr>
                          <w:color w:val="FFFFFF" w:themeColor="background1"/>
                          <w:lang w:val="es-ES"/>
                        </w:rPr>
                        <w:t>@humphreys.cl</w:t>
                      </w:r>
                      <w:r w:rsidR="006C210F" w:rsidRPr="00A6350F">
                        <w:rPr>
                          <w:color w:val="FFFFFF" w:themeColor="background1"/>
                          <w:lang w:val="es-ES"/>
                        </w:rPr>
                        <w:t xml:space="preserve"> h</w:t>
                      </w:r>
                      <w:r w:rsidR="005216CC" w:rsidRPr="00A6350F">
                        <w:rPr>
                          <w:color w:val="FFFFFF" w:themeColor="background1"/>
                          <w:lang w:val="es-ES"/>
                        </w:rPr>
                        <w:t>ernan.jimenez@humphreys.cl</w:t>
                      </w:r>
                    </w:p>
                    <w:p w14:paraId="32B10364" w14:textId="77777777" w:rsidR="002776AA" w:rsidRPr="00B03E32" w:rsidRDefault="002776AA" w:rsidP="00366E6F">
                      <w:pPr>
                        <w:rPr>
                          <w:color w:val="FFFFFF" w:themeColor="background1"/>
                          <w:lang w:val="es-ES"/>
                        </w:rPr>
                      </w:pPr>
                    </w:p>
                  </w:txbxContent>
                </v:textbox>
                <w10:wrap anchorx="page" anchory="page"/>
                <w10:anchorlock/>
              </v:shape>
            </w:pict>
          </mc:Fallback>
        </mc:AlternateContent>
      </w:r>
    </w:p>
    <w:p w14:paraId="107A747A" w14:textId="77777777" w:rsidR="004429DB" w:rsidRDefault="004429DB"/>
    <w:p w14:paraId="44D31502" w14:textId="77777777" w:rsidR="004429DB" w:rsidRDefault="004429DB"/>
    <w:p w14:paraId="70D9B967" w14:textId="77777777" w:rsidR="004429DB" w:rsidRDefault="004429DB"/>
    <w:p w14:paraId="6BAA8FCA" w14:textId="77777777" w:rsidR="004429DB" w:rsidRDefault="004429DB"/>
    <w:p w14:paraId="095B1D77" w14:textId="5E5006EB" w:rsidR="004429DB" w:rsidRDefault="00056B74">
      <w:r>
        <w:rPr>
          <w:noProof/>
        </w:rPr>
        <mc:AlternateContent>
          <mc:Choice Requires="wps">
            <w:drawing>
              <wp:anchor distT="0" distB="0" distL="114300" distR="114300" simplePos="0" relativeHeight="251658243" behindDoc="0" locked="0" layoutInCell="1" allowOverlap="1" wp14:anchorId="3F26497A" wp14:editId="3ADD9A92">
                <wp:simplePos x="0" y="0"/>
                <wp:positionH relativeFrom="column">
                  <wp:posOffset>0</wp:posOffset>
                </wp:positionH>
                <wp:positionV relativeFrom="paragraph">
                  <wp:posOffset>-635</wp:posOffset>
                </wp:positionV>
                <wp:extent cx="4445307" cy="35483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445307" cy="3548380"/>
                        </a:xfrm>
                        <a:prstGeom prst="rect">
                          <a:avLst/>
                        </a:prstGeom>
                        <a:solidFill>
                          <a:sysClr val="window" lastClr="FFFFFF"/>
                        </a:solidFill>
                        <a:ln w="6350">
                          <a:noFill/>
                        </a:ln>
                      </wps:spPr>
                      <wps:txbx>
                        <w:txbxContent>
                          <w:p w14:paraId="6F3E3F79" w14:textId="62DE2F20" w:rsidR="00056B74" w:rsidRDefault="00EF2C69" w:rsidP="00A6350F">
                            <w:pPr>
                              <w:pStyle w:val="Ttulo1"/>
                              <w:spacing w:after="0" w:line="360" w:lineRule="auto"/>
                              <w:rPr>
                                <w:lang w:val="es-ES"/>
                              </w:rPr>
                            </w:pPr>
                            <w:r>
                              <w:rPr>
                                <w:lang w:val="es-ES"/>
                              </w:rPr>
                              <w:t xml:space="preserve">Fondo Mutuo </w:t>
                            </w:r>
                            <w:r w:rsidR="00D33D8D">
                              <w:rPr>
                                <w:lang w:val="es-ES"/>
                              </w:rPr>
                              <w:t>Banchile</w:t>
                            </w:r>
                            <w:r w:rsidR="00354824">
                              <w:rPr>
                                <w:lang w:val="es-ES"/>
                              </w:rPr>
                              <w:t xml:space="preserve"> </w:t>
                            </w:r>
                            <w:proofErr w:type="spellStart"/>
                            <w:r w:rsidR="004207D1">
                              <w:rPr>
                                <w:lang w:val="es-ES"/>
                              </w:rPr>
                              <w:t>Latam</w:t>
                            </w:r>
                            <w:proofErr w:type="spellEnd"/>
                            <w:r w:rsidR="004207D1">
                              <w:rPr>
                                <w:lang w:val="es-ES"/>
                              </w:rPr>
                              <w:t xml:space="preserve"> </w:t>
                            </w:r>
                            <w:proofErr w:type="spellStart"/>
                            <w:r w:rsidR="004207D1">
                              <w:rPr>
                                <w:lang w:val="es-ES"/>
                              </w:rPr>
                              <w:t>Corporate</w:t>
                            </w:r>
                            <w:proofErr w:type="spellEnd"/>
                            <w:r w:rsidR="004207D1">
                              <w:rPr>
                                <w:lang w:val="es-ES"/>
                              </w:rPr>
                              <w:t xml:space="preserve"> </w:t>
                            </w:r>
                            <w:proofErr w:type="spellStart"/>
                            <w:r w:rsidR="004207D1">
                              <w:rPr>
                                <w:lang w:val="es-ES"/>
                              </w:rPr>
                              <w:t>Investment</w:t>
                            </w:r>
                            <w:proofErr w:type="spellEnd"/>
                            <w:r w:rsidR="004207D1">
                              <w:rPr>
                                <w:lang w:val="es-ES"/>
                              </w:rPr>
                              <w:t xml:space="preserve"> Grade</w:t>
                            </w:r>
                          </w:p>
                          <w:p w14:paraId="3F50AB1C" w14:textId="632CEE4E" w:rsidR="009E6B20" w:rsidRPr="007E4041" w:rsidRDefault="00747257" w:rsidP="009E6B20">
                            <w:pPr>
                              <w:rPr>
                                <w:color w:val="AE1619"/>
                                <w:sz w:val="28"/>
                                <w:szCs w:val="36"/>
                                <w:lang w:val="es-ES"/>
                              </w:rPr>
                            </w:pPr>
                            <w:r>
                              <w:rPr>
                                <w:color w:val="AE1619"/>
                                <w:sz w:val="28"/>
                                <w:szCs w:val="36"/>
                                <w:lang w:val="es-ES"/>
                              </w:rPr>
                              <w:t>Anual</w:t>
                            </w:r>
                            <w:r w:rsidR="00A6350F">
                              <w:rPr>
                                <w:color w:val="AE1619"/>
                                <w:sz w:val="28"/>
                                <w:szCs w:val="36"/>
                                <w:lang w:val="es-ES"/>
                              </w:rPr>
                              <w:t xml:space="preserve"> desde Envío Anterior</w:t>
                            </w:r>
                          </w:p>
                          <w:p w14:paraId="4215EDC9" w14:textId="26845F81" w:rsidR="00056B74" w:rsidRPr="007E4041" w:rsidRDefault="00056B74" w:rsidP="009E6B20">
                            <w:pPr>
                              <w:rPr>
                                <w:color w:val="AE1619"/>
                                <w:sz w:val="28"/>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6497A" id="Cuadro de texto 6" o:spid="_x0000_s1029" type="#_x0000_t202" style="position:absolute;margin-left:0;margin-top:-.05pt;width:350pt;height:27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" fillcolor="window" stroked="f" strokeweight=".5pt">
                <v:textbox>
                  <w:txbxContent>
                    <w:p w14:paraId="6F3E3F79" w14:textId="62DE2F20" w:rsidR="00056B74" w:rsidRDefault="00EF2C69" w:rsidP="00A6350F">
                      <w:pPr>
                        <w:pStyle w:val="Ttulo1"/>
                        <w:spacing w:after="0" w:line="360" w:lineRule="auto"/>
                        <w:rPr>
                          <w:lang w:val="es-ES"/>
                        </w:rPr>
                      </w:pPr>
                      <w:r>
                        <w:rPr>
                          <w:lang w:val="es-ES"/>
                        </w:rPr>
                        <w:t xml:space="preserve">Fondo Mutuo </w:t>
                      </w:r>
                      <w:r w:rsidR="00D33D8D">
                        <w:rPr>
                          <w:lang w:val="es-ES"/>
                        </w:rPr>
                        <w:t>Banchile</w:t>
                      </w:r>
                      <w:r w:rsidR="00354824">
                        <w:rPr>
                          <w:lang w:val="es-ES"/>
                        </w:rPr>
                        <w:t xml:space="preserve"> </w:t>
                      </w:r>
                      <w:proofErr w:type="spellStart"/>
                      <w:r w:rsidR="004207D1">
                        <w:rPr>
                          <w:lang w:val="es-ES"/>
                        </w:rPr>
                        <w:t>Latam</w:t>
                      </w:r>
                      <w:proofErr w:type="spellEnd"/>
                      <w:r w:rsidR="004207D1">
                        <w:rPr>
                          <w:lang w:val="es-ES"/>
                        </w:rPr>
                        <w:t xml:space="preserve"> </w:t>
                      </w:r>
                      <w:proofErr w:type="spellStart"/>
                      <w:r w:rsidR="004207D1">
                        <w:rPr>
                          <w:lang w:val="es-ES"/>
                        </w:rPr>
                        <w:t>Corporate</w:t>
                      </w:r>
                      <w:proofErr w:type="spellEnd"/>
                      <w:r w:rsidR="004207D1">
                        <w:rPr>
                          <w:lang w:val="es-ES"/>
                        </w:rPr>
                        <w:t xml:space="preserve"> </w:t>
                      </w:r>
                      <w:proofErr w:type="spellStart"/>
                      <w:r w:rsidR="004207D1">
                        <w:rPr>
                          <w:lang w:val="es-ES"/>
                        </w:rPr>
                        <w:t>Investment</w:t>
                      </w:r>
                      <w:proofErr w:type="spellEnd"/>
                      <w:r w:rsidR="004207D1">
                        <w:rPr>
                          <w:lang w:val="es-ES"/>
                        </w:rPr>
                        <w:t xml:space="preserve"> Grade</w:t>
                      </w:r>
                    </w:p>
                    <w:p w14:paraId="3F50AB1C" w14:textId="632CEE4E" w:rsidR="009E6B20" w:rsidRPr="007E4041" w:rsidRDefault="00747257" w:rsidP="009E6B20">
                      <w:pPr>
                        <w:rPr>
                          <w:color w:val="AE1619"/>
                          <w:sz w:val="28"/>
                          <w:szCs w:val="36"/>
                          <w:lang w:val="es-ES"/>
                        </w:rPr>
                      </w:pPr>
                      <w:r>
                        <w:rPr>
                          <w:color w:val="AE1619"/>
                          <w:sz w:val="28"/>
                          <w:szCs w:val="36"/>
                          <w:lang w:val="es-ES"/>
                        </w:rPr>
                        <w:t>Anual</w:t>
                      </w:r>
                      <w:r w:rsidR="00A6350F">
                        <w:rPr>
                          <w:color w:val="AE1619"/>
                          <w:sz w:val="28"/>
                          <w:szCs w:val="36"/>
                          <w:lang w:val="es-ES"/>
                        </w:rPr>
                        <w:t xml:space="preserve"> desde Envío Anterior</w:t>
                      </w:r>
                    </w:p>
                    <w:p w14:paraId="4215EDC9" w14:textId="26845F81" w:rsidR="00056B74" w:rsidRPr="007E4041" w:rsidRDefault="00056B74" w:rsidP="009E6B20">
                      <w:pPr>
                        <w:rPr>
                          <w:color w:val="AE1619"/>
                          <w:sz w:val="28"/>
                          <w:szCs w:val="36"/>
                          <w:lang w:val="es-ES"/>
                        </w:rPr>
                      </w:pPr>
                    </w:p>
                  </w:txbxContent>
                </v:textbox>
              </v:shape>
            </w:pict>
          </mc:Fallback>
        </mc:AlternateContent>
      </w:r>
    </w:p>
    <w:p w14:paraId="0786130F" w14:textId="77777777" w:rsidR="004429DB" w:rsidRDefault="004429DB"/>
    <w:p w14:paraId="3D95DC19" w14:textId="77777777" w:rsidR="004429DB" w:rsidRDefault="004429DB"/>
    <w:p w14:paraId="39298705" w14:textId="77777777" w:rsidR="004429DB" w:rsidRDefault="004429DB"/>
    <w:p w14:paraId="092D9FCA" w14:textId="77777777" w:rsidR="004429DB" w:rsidRDefault="004429DB"/>
    <w:p w14:paraId="3657BB1C" w14:textId="77777777" w:rsidR="004429DB" w:rsidRDefault="004429DB"/>
    <w:p w14:paraId="5EB1F9E3" w14:textId="77777777" w:rsidR="004429DB" w:rsidRDefault="004429DB"/>
    <w:p w14:paraId="6CCC55B3" w14:textId="77777777" w:rsidR="004429DB" w:rsidRDefault="004429DB"/>
    <w:p w14:paraId="7600A4DE" w14:textId="77777777" w:rsidR="004429DB" w:rsidRDefault="004429DB"/>
    <w:p w14:paraId="11C1C7C5" w14:textId="77777777" w:rsidR="004429DB" w:rsidRDefault="004429DB"/>
    <w:p w14:paraId="5219926D" w14:textId="77777777" w:rsidR="004429DB" w:rsidRDefault="004429DB"/>
    <w:p w14:paraId="3A1352D7" w14:textId="46F548F3" w:rsidR="004429DB" w:rsidRDefault="004429DB"/>
    <w:p w14:paraId="125DC385" w14:textId="77777777" w:rsidR="004429DB" w:rsidRDefault="004429DB"/>
    <w:p w14:paraId="32228EBF" w14:textId="77777777" w:rsidR="004429DB" w:rsidRDefault="004429DB"/>
    <w:p w14:paraId="72CB0F86" w14:textId="77777777" w:rsidR="004429DB" w:rsidRDefault="004429DB"/>
    <w:p w14:paraId="731F7539" w14:textId="77777777" w:rsidR="004429DB" w:rsidRDefault="004429DB"/>
    <w:p w14:paraId="18E0FB21" w14:textId="77777777" w:rsidR="004429DB" w:rsidRDefault="004429DB"/>
    <w:p w14:paraId="0A0ED85D" w14:textId="77777777" w:rsidR="004429DB" w:rsidRDefault="004429DB"/>
    <w:p w14:paraId="768F242D" w14:textId="77777777" w:rsidR="004429DB" w:rsidRDefault="004429DB"/>
    <w:p w14:paraId="6C6BBB9F" w14:textId="77777777" w:rsidR="004429DB" w:rsidRDefault="004429DB"/>
    <w:p w14:paraId="7C09A48A" w14:textId="77777777" w:rsidR="004429DB" w:rsidRDefault="004429DB"/>
    <w:p w14:paraId="18FA43FC" w14:textId="77777777" w:rsidR="004429DB" w:rsidRDefault="004429DB"/>
    <w:p w14:paraId="540EEC25" w14:textId="77777777" w:rsidR="004429DB" w:rsidRDefault="004429DB"/>
    <w:p w14:paraId="5B8619DC" w14:textId="77777777" w:rsidR="004429DB" w:rsidRDefault="004429DB"/>
    <w:p w14:paraId="429B05A2" w14:textId="77777777" w:rsidR="004429DB" w:rsidRDefault="004429DB"/>
    <w:p w14:paraId="7231C92B" w14:textId="3E1A409F" w:rsidR="00431B23" w:rsidRDefault="00431B23">
      <w:r>
        <w:br/>
      </w:r>
    </w:p>
    <w:p w14:paraId="102DEE6E" w14:textId="4771C46B" w:rsidR="00E10DEB" w:rsidRDefault="00E10DEB"/>
    <w:p w14:paraId="728907DF" w14:textId="0DFFEF66" w:rsidR="00E10DEB" w:rsidRDefault="00E10DEB"/>
    <w:p w14:paraId="2E8FD96C" w14:textId="5F94D501" w:rsidR="00E10DEB" w:rsidRDefault="00E10DEB"/>
    <w:p w14:paraId="6BBC8038" w14:textId="398FE406" w:rsidR="00E10DEB" w:rsidRDefault="00E10DEB"/>
    <w:p w14:paraId="602B816F" w14:textId="00117591" w:rsidR="00E10DEB" w:rsidRDefault="00E10DEB"/>
    <w:p w14:paraId="38D7E0EA" w14:textId="4CDC556A" w:rsidR="00E10DEB" w:rsidRDefault="00E10DEB"/>
    <w:p w14:paraId="3BC593E8" w14:textId="19EB4138" w:rsidR="00E10DEB" w:rsidRDefault="00E10DEB"/>
    <w:p w14:paraId="7131BDCF" w14:textId="7CC2D8F1" w:rsidR="009B3327" w:rsidRDefault="009B3327"/>
    <w:p w14:paraId="5A098B7D" w14:textId="3B3910A7" w:rsidR="009B3327" w:rsidRDefault="009B3327"/>
    <w:tbl>
      <w:tblPr>
        <w:tblW w:w="6099" w:type="dxa"/>
        <w:jc w:val="center"/>
        <w:tblCellMar>
          <w:left w:w="70" w:type="dxa"/>
          <w:right w:w="70" w:type="dxa"/>
        </w:tblCellMar>
        <w:tblLook w:val="04A0" w:firstRow="1" w:lastRow="0" w:firstColumn="1" w:lastColumn="0" w:noHBand="0" w:noVBand="1"/>
      </w:tblPr>
      <w:tblGrid>
        <w:gridCol w:w="2260"/>
        <w:gridCol w:w="3839"/>
      </w:tblGrid>
      <w:tr w:rsidR="00EA4B1A" w:rsidRPr="00A9657B" w14:paraId="3FCD5C7B" w14:textId="77777777" w:rsidTr="002D217E">
        <w:trPr>
          <w:cantSplit/>
          <w:trHeight w:val="283"/>
          <w:jc w:val="center"/>
        </w:trPr>
        <w:tc>
          <w:tcPr>
            <w:tcW w:w="6099" w:type="dxa"/>
            <w:gridSpan w:val="2"/>
            <w:tcBorders>
              <w:top w:val="single" w:sz="12" w:space="0" w:color="FFFFFF"/>
              <w:left w:val="single" w:sz="12" w:space="0" w:color="FFFFFF"/>
              <w:bottom w:val="single" w:sz="12" w:space="0" w:color="FFFFFF"/>
              <w:right w:val="single" w:sz="12" w:space="0" w:color="FFFFFF"/>
            </w:tcBorders>
            <w:shd w:val="clear" w:color="000000" w:fill="BB1823"/>
            <w:vAlign w:val="center"/>
            <w:hideMark/>
          </w:tcPr>
          <w:p w14:paraId="6942B958" w14:textId="77777777" w:rsidR="00EA4B1A" w:rsidRPr="00FE4BA7" w:rsidRDefault="00EA4B1A" w:rsidP="00EA4B1A">
            <w:pPr>
              <w:jc w:val="center"/>
              <w:rPr>
                <w:rFonts w:eastAsia="Times New Roman" w:cs="Calibri"/>
                <w:b/>
                <w:bCs/>
                <w:color w:val="FFFFFF"/>
                <w:sz w:val="18"/>
                <w:szCs w:val="18"/>
                <w:lang w:eastAsia="es-CL"/>
              </w:rPr>
            </w:pPr>
            <w:r w:rsidRPr="00FE4BA7">
              <w:rPr>
                <w:rFonts w:eastAsia="Times New Roman" w:cs="Calibri"/>
                <w:b/>
                <w:bCs/>
                <w:color w:val="FFFFFF" w:themeColor="background1"/>
                <w:sz w:val="18"/>
                <w:szCs w:val="18"/>
                <w:lang w:eastAsia="es-CL"/>
              </w:rPr>
              <w:lastRenderedPageBreak/>
              <w:t>Categoría de riesgo</w:t>
            </w:r>
          </w:p>
        </w:tc>
      </w:tr>
      <w:tr w:rsidR="00EA4B1A" w:rsidRPr="00A9657B" w14:paraId="00EA3DF1" w14:textId="77777777" w:rsidTr="002D217E">
        <w:trPr>
          <w:cantSplit/>
          <w:trHeight w:val="283"/>
          <w:jc w:val="center"/>
        </w:trPr>
        <w:tc>
          <w:tcPr>
            <w:tcW w:w="2260" w:type="dxa"/>
            <w:tcBorders>
              <w:top w:val="nil"/>
              <w:left w:val="single" w:sz="12" w:space="0" w:color="FFFFFF"/>
              <w:bottom w:val="single" w:sz="12" w:space="0" w:color="FFFFFF"/>
              <w:right w:val="single" w:sz="12" w:space="0" w:color="FFFFFF"/>
            </w:tcBorders>
            <w:shd w:val="clear" w:color="000000" w:fill="AE1619"/>
            <w:vAlign w:val="center"/>
            <w:hideMark/>
          </w:tcPr>
          <w:p w14:paraId="4461A9A8" w14:textId="77777777" w:rsidR="00EA4B1A" w:rsidRPr="00FE4BA7" w:rsidRDefault="00EA4B1A" w:rsidP="00EA4B1A">
            <w:pPr>
              <w:jc w:val="center"/>
              <w:rPr>
                <w:rFonts w:eastAsia="Times New Roman" w:cs="Calibri"/>
                <w:b/>
                <w:bCs/>
                <w:color w:val="FFFFFF"/>
                <w:sz w:val="18"/>
                <w:szCs w:val="18"/>
                <w:lang w:eastAsia="es-CL"/>
              </w:rPr>
            </w:pPr>
            <w:r w:rsidRPr="00FE4BA7">
              <w:rPr>
                <w:rFonts w:eastAsia="Times New Roman" w:cs="Calibri"/>
                <w:b/>
                <w:bCs/>
                <w:color w:val="FFFFFF" w:themeColor="background1"/>
                <w:sz w:val="18"/>
                <w:szCs w:val="18"/>
                <w:lang w:eastAsia="es-CL"/>
              </w:rPr>
              <w:t>Tipo de instrumento</w:t>
            </w:r>
          </w:p>
        </w:tc>
        <w:tc>
          <w:tcPr>
            <w:tcW w:w="3839" w:type="dxa"/>
            <w:tcBorders>
              <w:top w:val="nil"/>
              <w:left w:val="nil"/>
              <w:bottom w:val="single" w:sz="12" w:space="0" w:color="FFFFFF"/>
              <w:right w:val="single" w:sz="12" w:space="0" w:color="FFFFFF"/>
            </w:tcBorders>
            <w:shd w:val="clear" w:color="000000" w:fill="AE1619"/>
            <w:vAlign w:val="center"/>
            <w:hideMark/>
          </w:tcPr>
          <w:p w14:paraId="71B67D1A" w14:textId="77777777" w:rsidR="00EA4B1A" w:rsidRPr="00FE4BA7" w:rsidRDefault="00EA4B1A" w:rsidP="00EA4B1A">
            <w:pPr>
              <w:jc w:val="center"/>
              <w:rPr>
                <w:rFonts w:eastAsia="Times New Roman" w:cs="Calibri"/>
                <w:b/>
                <w:bCs/>
                <w:color w:val="FFFFFF"/>
                <w:sz w:val="18"/>
                <w:szCs w:val="18"/>
                <w:lang w:eastAsia="es-CL"/>
              </w:rPr>
            </w:pPr>
            <w:r w:rsidRPr="00FE4BA7">
              <w:rPr>
                <w:rFonts w:eastAsia="Times New Roman" w:cs="Calibri"/>
                <w:b/>
                <w:bCs/>
                <w:color w:val="FFFFFF" w:themeColor="background1"/>
                <w:sz w:val="18"/>
                <w:szCs w:val="18"/>
                <w:lang w:eastAsia="es-CL"/>
              </w:rPr>
              <w:t>Categoría</w:t>
            </w:r>
          </w:p>
        </w:tc>
      </w:tr>
      <w:tr w:rsidR="00EA4B1A" w:rsidRPr="00A9657B" w14:paraId="238AA321" w14:textId="77777777" w:rsidTr="002D217E">
        <w:trPr>
          <w:cantSplit/>
          <w:trHeight w:val="283"/>
          <w:jc w:val="center"/>
        </w:trPr>
        <w:tc>
          <w:tcPr>
            <w:tcW w:w="2260" w:type="dxa"/>
            <w:tcBorders>
              <w:top w:val="nil"/>
              <w:left w:val="single" w:sz="12" w:space="0" w:color="FFFFFF"/>
              <w:bottom w:val="nil"/>
              <w:right w:val="single" w:sz="12" w:space="0" w:color="FFFFFF"/>
            </w:tcBorders>
            <w:shd w:val="clear" w:color="000000" w:fill="FFFFFF"/>
            <w:vAlign w:val="center"/>
            <w:hideMark/>
          </w:tcPr>
          <w:p w14:paraId="355704D1" w14:textId="77777777" w:rsidR="00EA4B1A" w:rsidRPr="00FE4BA7" w:rsidRDefault="00EA4B1A" w:rsidP="00EA4B1A">
            <w:pPr>
              <w:rPr>
                <w:rFonts w:eastAsia="Times New Roman" w:cs="Calibri"/>
                <w:color w:val="1F3864"/>
                <w:sz w:val="18"/>
                <w:szCs w:val="18"/>
                <w:lang w:eastAsia="es-CL"/>
              </w:rPr>
            </w:pPr>
            <w:r w:rsidRPr="00FE4BA7">
              <w:rPr>
                <w:rFonts w:eastAsia="Times New Roman" w:cs="Calibri"/>
                <w:color w:val="1F3864" w:themeColor="accent1" w:themeShade="80"/>
                <w:sz w:val="18"/>
                <w:szCs w:val="18"/>
                <w:lang w:eastAsia="es-CL"/>
              </w:rPr>
              <w:t> </w:t>
            </w:r>
          </w:p>
        </w:tc>
        <w:tc>
          <w:tcPr>
            <w:tcW w:w="3839" w:type="dxa"/>
            <w:tcBorders>
              <w:top w:val="nil"/>
              <w:left w:val="nil"/>
              <w:bottom w:val="nil"/>
              <w:right w:val="single" w:sz="12" w:space="0" w:color="FFFFFF"/>
            </w:tcBorders>
            <w:shd w:val="clear" w:color="000000" w:fill="FFFFFF"/>
            <w:vAlign w:val="center"/>
            <w:hideMark/>
          </w:tcPr>
          <w:p w14:paraId="66609D97" w14:textId="77777777" w:rsidR="00EA4B1A" w:rsidRPr="00FE4BA7" w:rsidRDefault="00EA4B1A" w:rsidP="00EA4B1A">
            <w:pPr>
              <w:jc w:val="center"/>
              <w:rPr>
                <w:rFonts w:eastAsia="Times New Roman" w:cs="Calibri"/>
                <w:color w:val="1F3864"/>
                <w:sz w:val="18"/>
                <w:szCs w:val="18"/>
                <w:lang w:eastAsia="es-CL"/>
              </w:rPr>
            </w:pPr>
            <w:r w:rsidRPr="00FE4BA7">
              <w:rPr>
                <w:rFonts w:eastAsia="Times New Roman" w:cs="Calibri"/>
                <w:color w:val="1F3864" w:themeColor="accent1" w:themeShade="80"/>
                <w:sz w:val="18"/>
                <w:szCs w:val="18"/>
                <w:lang w:eastAsia="es-CL"/>
              </w:rPr>
              <w:t> </w:t>
            </w:r>
          </w:p>
        </w:tc>
      </w:tr>
      <w:tr w:rsidR="00EA4B1A" w:rsidRPr="00A9657B" w14:paraId="012B8016" w14:textId="77777777" w:rsidTr="002D217E">
        <w:trPr>
          <w:trHeight w:val="283"/>
          <w:jc w:val="center"/>
        </w:trPr>
        <w:tc>
          <w:tcPr>
            <w:tcW w:w="2260" w:type="dxa"/>
            <w:tcBorders>
              <w:top w:val="nil"/>
              <w:left w:val="single" w:sz="12" w:space="0" w:color="FFFFFF"/>
              <w:bottom w:val="nil"/>
              <w:right w:val="single" w:sz="12" w:space="0" w:color="FFFFFF"/>
            </w:tcBorders>
            <w:shd w:val="clear" w:color="000000" w:fill="FFFFFF"/>
            <w:vAlign w:val="center"/>
            <w:hideMark/>
          </w:tcPr>
          <w:p w14:paraId="18A0EF20" w14:textId="6F521DA3" w:rsidR="00F24F18" w:rsidRPr="00FE4BA7" w:rsidRDefault="00F24F18" w:rsidP="00EA4B1A">
            <w:pPr>
              <w:rPr>
                <w:rFonts w:eastAsia="Times New Roman" w:cs="Calibri"/>
                <w:color w:val="1F3864"/>
                <w:sz w:val="18"/>
                <w:szCs w:val="18"/>
                <w:lang w:eastAsia="es-CL"/>
              </w:rPr>
            </w:pPr>
            <w:r w:rsidRPr="00FE4BA7">
              <w:rPr>
                <w:rFonts w:eastAsia="Times New Roman" w:cs="Calibri"/>
                <w:color w:val="1F3864"/>
                <w:sz w:val="18"/>
                <w:szCs w:val="18"/>
                <w:lang w:eastAsia="es-CL"/>
              </w:rPr>
              <w:t>Cuotas</w:t>
            </w:r>
          </w:p>
        </w:tc>
        <w:tc>
          <w:tcPr>
            <w:tcW w:w="3839" w:type="dxa"/>
            <w:tcBorders>
              <w:top w:val="nil"/>
              <w:left w:val="nil"/>
              <w:bottom w:val="nil"/>
              <w:right w:val="single" w:sz="12" w:space="0" w:color="FFFFFF"/>
            </w:tcBorders>
            <w:shd w:val="clear" w:color="000000" w:fill="FFFFFF"/>
            <w:vAlign w:val="center"/>
            <w:hideMark/>
          </w:tcPr>
          <w:p w14:paraId="710252B3" w14:textId="3DECA021" w:rsidR="00F24F18" w:rsidRPr="00FB5F7C" w:rsidRDefault="00311D1A" w:rsidP="00142808">
            <w:pPr>
              <w:jc w:val="center"/>
              <w:rPr>
                <w:rFonts w:eastAsia="Times New Roman" w:cs="Calibri"/>
                <w:b/>
                <w:bCs/>
                <w:color w:val="1F3864" w:themeColor="accent1" w:themeShade="80"/>
                <w:sz w:val="18"/>
                <w:szCs w:val="18"/>
                <w:lang w:eastAsia="es-CL"/>
              </w:rPr>
            </w:pPr>
            <w:proofErr w:type="spellStart"/>
            <w:r w:rsidRPr="00FB5F7C">
              <w:rPr>
                <w:rFonts w:eastAsia="Times New Roman" w:cs="Calibri"/>
                <w:b/>
                <w:bCs/>
                <w:color w:val="1F3864" w:themeColor="accent1" w:themeShade="80"/>
                <w:sz w:val="18"/>
                <w:szCs w:val="18"/>
                <w:lang w:eastAsia="es-CL"/>
              </w:rPr>
              <w:t>A</w:t>
            </w:r>
            <w:r w:rsidR="00F24F18" w:rsidRPr="00FB5F7C">
              <w:rPr>
                <w:rFonts w:eastAsia="Times New Roman" w:cs="Calibri"/>
                <w:b/>
                <w:bCs/>
                <w:color w:val="1F3864" w:themeColor="accent1" w:themeShade="80"/>
                <w:sz w:val="18"/>
                <w:szCs w:val="18"/>
                <w:lang w:eastAsia="es-CL"/>
              </w:rPr>
              <w:t>fm</w:t>
            </w:r>
            <w:proofErr w:type="spellEnd"/>
          </w:p>
        </w:tc>
      </w:tr>
      <w:tr w:rsidR="00142808" w:rsidRPr="00A9657B" w14:paraId="2CDA3607" w14:textId="77777777" w:rsidTr="002D217E">
        <w:trPr>
          <w:trHeight w:val="283"/>
          <w:jc w:val="center"/>
        </w:trPr>
        <w:tc>
          <w:tcPr>
            <w:tcW w:w="2260" w:type="dxa"/>
            <w:tcBorders>
              <w:top w:val="nil"/>
              <w:left w:val="single" w:sz="12" w:space="0" w:color="FFFFFF"/>
              <w:bottom w:val="nil"/>
              <w:right w:val="single" w:sz="12" w:space="0" w:color="FFFFFF"/>
            </w:tcBorders>
            <w:shd w:val="clear" w:color="000000" w:fill="FFFFFF"/>
            <w:vAlign w:val="center"/>
          </w:tcPr>
          <w:p w14:paraId="39CBE7E2" w14:textId="20CFBBC7" w:rsidR="00142808" w:rsidRPr="00FE4BA7" w:rsidRDefault="00142808" w:rsidP="00EA4B1A">
            <w:pPr>
              <w:rPr>
                <w:rFonts w:eastAsia="Times New Roman" w:cs="Calibri"/>
                <w:color w:val="1F3864"/>
                <w:sz w:val="18"/>
                <w:szCs w:val="18"/>
                <w:lang w:eastAsia="es-CL"/>
              </w:rPr>
            </w:pPr>
            <w:r w:rsidRPr="00FE4BA7">
              <w:rPr>
                <w:rFonts w:eastAsia="Times New Roman" w:cs="Calibri"/>
                <w:color w:val="1F3864"/>
                <w:sz w:val="18"/>
                <w:szCs w:val="18"/>
                <w:lang w:eastAsia="es-CL"/>
              </w:rPr>
              <w:t>Riesgo de mercado</w:t>
            </w:r>
          </w:p>
        </w:tc>
        <w:tc>
          <w:tcPr>
            <w:tcW w:w="3839" w:type="dxa"/>
            <w:tcBorders>
              <w:top w:val="nil"/>
              <w:left w:val="nil"/>
              <w:bottom w:val="nil"/>
              <w:right w:val="single" w:sz="12" w:space="0" w:color="FFFFFF"/>
            </w:tcBorders>
            <w:shd w:val="clear" w:color="000000" w:fill="FFFFFF"/>
            <w:vAlign w:val="center"/>
          </w:tcPr>
          <w:p w14:paraId="5E8B9B85" w14:textId="37633A3E" w:rsidR="00142808" w:rsidRPr="00FB5F7C" w:rsidRDefault="00142808" w:rsidP="00EA4B1A">
            <w:pPr>
              <w:jc w:val="center"/>
              <w:rPr>
                <w:rFonts w:eastAsia="Times New Roman" w:cs="Calibri"/>
                <w:b/>
                <w:bCs/>
                <w:color w:val="1F3864" w:themeColor="accent1" w:themeShade="80"/>
                <w:sz w:val="18"/>
                <w:szCs w:val="18"/>
                <w:lang w:eastAsia="es-CL"/>
              </w:rPr>
            </w:pPr>
            <w:r w:rsidRPr="00FB5F7C">
              <w:rPr>
                <w:rFonts w:eastAsia="Times New Roman" w:cs="Calibri"/>
                <w:b/>
                <w:bCs/>
                <w:color w:val="1F3864"/>
                <w:sz w:val="18"/>
                <w:szCs w:val="18"/>
                <w:lang w:eastAsia="es-CL"/>
              </w:rPr>
              <w:t>M</w:t>
            </w:r>
            <w:r w:rsidR="00311D1A" w:rsidRPr="00FB5F7C">
              <w:rPr>
                <w:rFonts w:eastAsia="Times New Roman" w:cs="Calibri"/>
                <w:b/>
                <w:bCs/>
                <w:color w:val="1F3864"/>
                <w:sz w:val="18"/>
                <w:szCs w:val="18"/>
                <w:lang w:eastAsia="es-CL"/>
              </w:rPr>
              <w:t>5</w:t>
            </w:r>
          </w:p>
        </w:tc>
      </w:tr>
      <w:tr w:rsidR="00EA4B1A" w:rsidRPr="00A9657B" w14:paraId="24156633" w14:textId="77777777" w:rsidTr="002D217E">
        <w:trPr>
          <w:trHeight w:val="283"/>
          <w:jc w:val="center"/>
        </w:trPr>
        <w:tc>
          <w:tcPr>
            <w:tcW w:w="2260" w:type="dxa"/>
            <w:tcBorders>
              <w:top w:val="nil"/>
              <w:left w:val="single" w:sz="12" w:space="0" w:color="FFFFFF"/>
              <w:bottom w:val="nil"/>
              <w:right w:val="single" w:sz="12" w:space="0" w:color="FFFFFF"/>
            </w:tcBorders>
            <w:shd w:val="clear" w:color="000000" w:fill="FFFFFF"/>
            <w:vAlign w:val="center"/>
            <w:hideMark/>
          </w:tcPr>
          <w:p w14:paraId="7CDD848F" w14:textId="77777777" w:rsidR="00EA4B1A" w:rsidRPr="00FE4BA7" w:rsidRDefault="00EA4B1A" w:rsidP="00EA4B1A">
            <w:pPr>
              <w:rPr>
                <w:rFonts w:eastAsia="Times New Roman" w:cs="Calibri"/>
                <w:color w:val="1F3864"/>
                <w:sz w:val="18"/>
                <w:szCs w:val="18"/>
                <w:lang w:eastAsia="es-CL"/>
              </w:rPr>
            </w:pPr>
            <w:r w:rsidRPr="00FE4BA7">
              <w:rPr>
                <w:rFonts w:eastAsia="Times New Roman" w:cs="Calibri"/>
                <w:color w:val="1F3864" w:themeColor="accent1" w:themeShade="80"/>
                <w:sz w:val="18"/>
                <w:szCs w:val="18"/>
                <w:lang w:eastAsia="es-CL"/>
              </w:rPr>
              <w:t xml:space="preserve">Tendencia </w:t>
            </w:r>
          </w:p>
        </w:tc>
        <w:tc>
          <w:tcPr>
            <w:tcW w:w="3839" w:type="dxa"/>
            <w:tcBorders>
              <w:top w:val="nil"/>
              <w:left w:val="nil"/>
              <w:bottom w:val="nil"/>
              <w:right w:val="single" w:sz="12" w:space="0" w:color="FFFFFF"/>
            </w:tcBorders>
            <w:shd w:val="clear" w:color="000000" w:fill="FFFFFF"/>
            <w:vAlign w:val="center"/>
            <w:hideMark/>
          </w:tcPr>
          <w:p w14:paraId="59336779" w14:textId="06C02DEE" w:rsidR="00EA4B1A" w:rsidRPr="00FB5F7C" w:rsidRDefault="009E6B20" w:rsidP="00EA4B1A">
            <w:pPr>
              <w:jc w:val="center"/>
              <w:rPr>
                <w:rFonts w:eastAsia="Times New Roman" w:cs="Calibri"/>
                <w:b/>
                <w:bCs/>
                <w:color w:val="1F3864"/>
                <w:sz w:val="18"/>
                <w:szCs w:val="18"/>
                <w:lang w:eastAsia="es-CL"/>
              </w:rPr>
            </w:pPr>
            <w:r w:rsidRPr="00FB5F7C">
              <w:rPr>
                <w:rFonts w:eastAsia="Times New Roman" w:cs="Calibri"/>
                <w:b/>
                <w:bCs/>
                <w:color w:val="1F3864" w:themeColor="accent1" w:themeShade="80"/>
                <w:sz w:val="18"/>
                <w:szCs w:val="18"/>
                <w:lang w:eastAsia="es-CL"/>
              </w:rPr>
              <w:t>E</w:t>
            </w:r>
            <w:r w:rsidR="00747257" w:rsidRPr="00FB5F7C">
              <w:rPr>
                <w:rFonts w:eastAsia="Times New Roman" w:cs="Calibri"/>
                <w:b/>
                <w:bCs/>
                <w:color w:val="1F3864" w:themeColor="accent1" w:themeShade="80"/>
                <w:sz w:val="18"/>
                <w:szCs w:val="18"/>
                <w:lang w:eastAsia="es-CL"/>
              </w:rPr>
              <w:t>stable</w:t>
            </w:r>
          </w:p>
        </w:tc>
      </w:tr>
      <w:tr w:rsidR="00EA4B1A" w:rsidRPr="00A9657B" w14:paraId="72A91BF6" w14:textId="77777777" w:rsidTr="002D217E">
        <w:trPr>
          <w:trHeight w:val="283"/>
          <w:jc w:val="center"/>
        </w:trPr>
        <w:tc>
          <w:tcPr>
            <w:tcW w:w="2260" w:type="dxa"/>
            <w:tcBorders>
              <w:top w:val="nil"/>
              <w:left w:val="single" w:sz="12" w:space="0" w:color="FFFFFF"/>
              <w:bottom w:val="nil"/>
              <w:right w:val="single" w:sz="12" w:space="0" w:color="FFFFFF"/>
            </w:tcBorders>
            <w:shd w:val="clear" w:color="000000" w:fill="FFFFFF"/>
            <w:vAlign w:val="center"/>
            <w:hideMark/>
          </w:tcPr>
          <w:p w14:paraId="63FE72D0" w14:textId="77777777" w:rsidR="00EA4B1A" w:rsidRPr="00FE4BA7" w:rsidRDefault="00EA4B1A" w:rsidP="00EA4B1A">
            <w:pPr>
              <w:rPr>
                <w:rFonts w:eastAsia="Times New Roman" w:cs="Calibri"/>
                <w:color w:val="1F3864"/>
                <w:sz w:val="18"/>
                <w:szCs w:val="18"/>
                <w:lang w:eastAsia="es-CL"/>
              </w:rPr>
            </w:pPr>
            <w:r w:rsidRPr="00FE4BA7">
              <w:rPr>
                <w:rFonts w:eastAsia="Times New Roman" w:cs="Calibri"/>
                <w:color w:val="1F3864" w:themeColor="accent1" w:themeShade="80"/>
                <w:sz w:val="18"/>
                <w:szCs w:val="18"/>
                <w:lang w:eastAsia="es-CL"/>
              </w:rPr>
              <w:t> </w:t>
            </w:r>
          </w:p>
        </w:tc>
        <w:tc>
          <w:tcPr>
            <w:tcW w:w="3839" w:type="dxa"/>
            <w:tcBorders>
              <w:top w:val="nil"/>
              <w:left w:val="nil"/>
              <w:bottom w:val="nil"/>
              <w:right w:val="single" w:sz="12" w:space="0" w:color="FFFFFF"/>
            </w:tcBorders>
            <w:shd w:val="clear" w:color="000000" w:fill="FFFFFF"/>
            <w:vAlign w:val="center"/>
            <w:hideMark/>
          </w:tcPr>
          <w:p w14:paraId="33878FEC" w14:textId="77777777" w:rsidR="00EA4B1A" w:rsidRPr="00FE4BA7" w:rsidRDefault="00EA4B1A" w:rsidP="00EA4B1A">
            <w:pPr>
              <w:jc w:val="center"/>
              <w:rPr>
                <w:rFonts w:eastAsia="Times New Roman" w:cs="Calibri"/>
                <w:color w:val="1F3864"/>
                <w:sz w:val="18"/>
                <w:szCs w:val="18"/>
                <w:lang w:eastAsia="es-CL"/>
              </w:rPr>
            </w:pPr>
            <w:r w:rsidRPr="00FE4BA7">
              <w:rPr>
                <w:rFonts w:eastAsia="Times New Roman" w:cs="Calibri"/>
                <w:color w:val="1F3864" w:themeColor="accent1" w:themeShade="80"/>
                <w:sz w:val="18"/>
                <w:szCs w:val="18"/>
                <w:lang w:eastAsia="es-CL"/>
              </w:rPr>
              <w:t> </w:t>
            </w:r>
          </w:p>
        </w:tc>
      </w:tr>
      <w:tr w:rsidR="00EA4B1A" w:rsidRPr="00A9657B" w14:paraId="34C8B0CE" w14:textId="77777777" w:rsidTr="002D217E">
        <w:trPr>
          <w:trHeight w:val="283"/>
          <w:jc w:val="center"/>
        </w:trPr>
        <w:tc>
          <w:tcPr>
            <w:tcW w:w="2260" w:type="dxa"/>
            <w:tcBorders>
              <w:top w:val="nil"/>
              <w:left w:val="single" w:sz="12" w:space="0" w:color="FFFFFF"/>
              <w:bottom w:val="nil"/>
              <w:right w:val="single" w:sz="12" w:space="0" w:color="FFFFFF"/>
            </w:tcBorders>
            <w:shd w:val="clear" w:color="000000" w:fill="FFFFFF"/>
            <w:vAlign w:val="center"/>
            <w:hideMark/>
          </w:tcPr>
          <w:p w14:paraId="5CA2944B" w14:textId="7F7ECD0B" w:rsidR="001567D4" w:rsidRPr="00FE4BA7" w:rsidRDefault="00EA4B1A" w:rsidP="00EA4B1A">
            <w:pPr>
              <w:rPr>
                <w:rFonts w:eastAsia="Times New Roman" w:cs="Calibri"/>
                <w:color w:val="1F3864" w:themeColor="accent1" w:themeShade="80"/>
                <w:sz w:val="18"/>
                <w:szCs w:val="18"/>
                <w:lang w:eastAsia="es-CL"/>
              </w:rPr>
            </w:pPr>
            <w:r w:rsidRPr="00FE4BA7">
              <w:rPr>
                <w:rFonts w:eastAsia="Times New Roman" w:cs="Calibri"/>
                <w:color w:val="1F3864" w:themeColor="accent1" w:themeShade="80"/>
                <w:sz w:val="18"/>
                <w:szCs w:val="18"/>
                <w:lang w:eastAsia="es-CL"/>
              </w:rPr>
              <w:t>EEFF base</w:t>
            </w:r>
          </w:p>
        </w:tc>
        <w:tc>
          <w:tcPr>
            <w:tcW w:w="3839" w:type="dxa"/>
            <w:tcBorders>
              <w:top w:val="nil"/>
              <w:left w:val="nil"/>
              <w:bottom w:val="nil"/>
              <w:right w:val="single" w:sz="12" w:space="0" w:color="FFFFFF"/>
            </w:tcBorders>
            <w:shd w:val="clear" w:color="000000" w:fill="FFFFFF"/>
            <w:vAlign w:val="center"/>
            <w:hideMark/>
          </w:tcPr>
          <w:p w14:paraId="641FD8AF" w14:textId="50147CD3" w:rsidR="001567D4" w:rsidRPr="00FE4BA7" w:rsidRDefault="00EA4B1A" w:rsidP="00142808">
            <w:pPr>
              <w:jc w:val="center"/>
              <w:rPr>
                <w:rFonts w:eastAsia="Times New Roman" w:cs="Calibri"/>
                <w:color w:val="1F3864" w:themeColor="accent1" w:themeShade="80"/>
                <w:sz w:val="18"/>
                <w:szCs w:val="18"/>
                <w:lang w:eastAsia="es-CL"/>
              </w:rPr>
            </w:pPr>
            <w:r w:rsidRPr="00FE4BA7">
              <w:rPr>
                <w:rFonts w:eastAsia="Times New Roman" w:cs="Calibri"/>
                <w:color w:val="1F3864" w:themeColor="accent1" w:themeShade="80"/>
                <w:sz w:val="18"/>
                <w:szCs w:val="18"/>
                <w:lang w:eastAsia="es-CL"/>
              </w:rPr>
              <w:t xml:space="preserve">31 de </w:t>
            </w:r>
            <w:r w:rsidR="004706E6" w:rsidRPr="00FE4BA7">
              <w:rPr>
                <w:rFonts w:eastAsia="Times New Roman" w:cs="Calibri"/>
                <w:color w:val="1F3864" w:themeColor="accent1" w:themeShade="80"/>
                <w:sz w:val="18"/>
                <w:szCs w:val="18"/>
                <w:lang w:eastAsia="es-CL"/>
              </w:rPr>
              <w:t>diciembre 202</w:t>
            </w:r>
            <w:r w:rsidR="00E618D1">
              <w:rPr>
                <w:rFonts w:eastAsia="Times New Roman" w:cs="Calibri"/>
                <w:color w:val="1F3864" w:themeColor="accent1" w:themeShade="80"/>
                <w:sz w:val="18"/>
                <w:szCs w:val="18"/>
                <w:lang w:eastAsia="es-CL"/>
              </w:rPr>
              <w:t>1</w:t>
            </w:r>
            <w:r w:rsidR="00370E28" w:rsidRPr="00FE4BA7">
              <w:rPr>
                <w:rStyle w:val="Refdenotaalpie"/>
                <w:rFonts w:eastAsia="Times New Roman" w:cs="Calibri"/>
                <w:color w:val="1F3864" w:themeColor="accent1" w:themeShade="80"/>
                <w:sz w:val="18"/>
                <w:szCs w:val="18"/>
                <w:lang w:eastAsia="es-CL"/>
              </w:rPr>
              <w:footnoteReference w:id="2"/>
            </w:r>
          </w:p>
        </w:tc>
      </w:tr>
      <w:tr w:rsidR="00142808" w:rsidRPr="00A9657B" w14:paraId="78655789" w14:textId="77777777" w:rsidTr="002D217E">
        <w:trPr>
          <w:trHeight w:val="283"/>
          <w:jc w:val="center"/>
        </w:trPr>
        <w:tc>
          <w:tcPr>
            <w:tcW w:w="2260" w:type="dxa"/>
            <w:tcBorders>
              <w:top w:val="nil"/>
              <w:left w:val="single" w:sz="12" w:space="0" w:color="FFFFFF"/>
              <w:bottom w:val="nil"/>
              <w:right w:val="single" w:sz="12" w:space="0" w:color="FFFFFF"/>
            </w:tcBorders>
            <w:shd w:val="clear" w:color="000000" w:fill="FFFFFF"/>
            <w:vAlign w:val="center"/>
          </w:tcPr>
          <w:p w14:paraId="05257012" w14:textId="5B5C6900" w:rsidR="00142808" w:rsidRPr="00FE4BA7" w:rsidRDefault="00142808" w:rsidP="00EA4B1A">
            <w:pPr>
              <w:rPr>
                <w:rFonts w:eastAsia="Times New Roman" w:cs="Calibri"/>
                <w:color w:val="1F3864" w:themeColor="accent1" w:themeShade="80"/>
                <w:sz w:val="18"/>
                <w:szCs w:val="18"/>
                <w:lang w:eastAsia="es-CL"/>
              </w:rPr>
            </w:pPr>
            <w:r w:rsidRPr="00FE4BA7">
              <w:rPr>
                <w:rFonts w:eastAsia="Times New Roman" w:cs="Calibri"/>
                <w:color w:val="1F3864" w:themeColor="accent1" w:themeShade="80"/>
                <w:sz w:val="18"/>
                <w:szCs w:val="18"/>
                <w:lang w:eastAsia="es-CL"/>
              </w:rPr>
              <w:t>Administradora</w:t>
            </w:r>
          </w:p>
        </w:tc>
        <w:tc>
          <w:tcPr>
            <w:tcW w:w="3839" w:type="dxa"/>
            <w:tcBorders>
              <w:top w:val="nil"/>
              <w:left w:val="nil"/>
              <w:bottom w:val="nil"/>
              <w:right w:val="single" w:sz="12" w:space="0" w:color="FFFFFF"/>
            </w:tcBorders>
            <w:shd w:val="clear" w:color="000000" w:fill="FFFFFF"/>
            <w:vAlign w:val="center"/>
          </w:tcPr>
          <w:p w14:paraId="08492035" w14:textId="6278E691" w:rsidR="00142808" w:rsidRPr="00FE4BA7" w:rsidRDefault="002D217E" w:rsidP="00EA4B1A">
            <w:pPr>
              <w:jc w:val="center"/>
              <w:rPr>
                <w:rFonts w:eastAsia="Times New Roman" w:cs="Calibri"/>
                <w:color w:val="1F3864" w:themeColor="accent1" w:themeShade="80"/>
                <w:sz w:val="18"/>
                <w:szCs w:val="18"/>
                <w:lang w:eastAsia="es-CL"/>
              </w:rPr>
            </w:pPr>
            <w:r w:rsidRPr="00FE4BA7">
              <w:rPr>
                <w:rFonts w:eastAsia="Times New Roman" w:cs="Calibri"/>
                <w:color w:val="1F3864"/>
                <w:sz w:val="18"/>
                <w:szCs w:val="18"/>
                <w:lang w:eastAsia="es-CL"/>
              </w:rPr>
              <w:t>Banchile Administradora General de Fondos S.A.</w:t>
            </w:r>
          </w:p>
        </w:tc>
      </w:tr>
    </w:tbl>
    <w:p w14:paraId="7EFAD6D8" w14:textId="77777777" w:rsidR="007F755B" w:rsidRPr="007F755B" w:rsidRDefault="007F755B" w:rsidP="00E10DEB">
      <w:pPr>
        <w:pStyle w:val="Ttulo1"/>
        <w:rPr>
          <w:rFonts w:eastAsiaTheme="minorHAnsi" w:cstheme="minorBidi"/>
          <w:b w:val="0"/>
          <w:sz w:val="21"/>
          <w:szCs w:val="24"/>
          <w:lang w:val="es-ES"/>
        </w:rPr>
      </w:pPr>
    </w:p>
    <w:p w14:paraId="0A24CCCB" w14:textId="6AD81718" w:rsidR="00F305AA" w:rsidRPr="00EB1673" w:rsidRDefault="00F305AA" w:rsidP="00E10DEB">
      <w:pPr>
        <w:pStyle w:val="Ttulo1"/>
      </w:pPr>
      <w:r w:rsidRPr="00EB1673">
        <w:t>Opinión</w:t>
      </w:r>
    </w:p>
    <w:p w14:paraId="40D12D10" w14:textId="77777777" w:rsidR="00F305AA" w:rsidRPr="00EB1673" w:rsidRDefault="00F305AA" w:rsidP="00F305AA">
      <w:pPr>
        <w:pStyle w:val="Ttulo"/>
        <w:jc w:val="both"/>
      </w:pPr>
      <w:r w:rsidRPr="00EB1673">
        <w:t>Fundamentos de la clasificación</w:t>
      </w:r>
    </w:p>
    <w:p w14:paraId="0BE6ED53" w14:textId="69840405" w:rsidR="00E779A3" w:rsidRPr="006F48B1" w:rsidRDefault="00547F55" w:rsidP="009E11AE">
      <w:pPr>
        <w:spacing w:after="120"/>
        <w:jc w:val="both"/>
        <w:rPr>
          <w:lang w:val="es-ES"/>
        </w:rPr>
      </w:pPr>
      <w:r w:rsidRPr="00EB1673">
        <w:rPr>
          <w:b/>
          <w:bCs/>
        </w:rPr>
        <w:t xml:space="preserve">Fondo Mutuo </w:t>
      </w:r>
      <w:r w:rsidR="00AF2168" w:rsidRPr="00EB1673">
        <w:rPr>
          <w:b/>
          <w:bCs/>
        </w:rPr>
        <w:t xml:space="preserve">Banchile </w:t>
      </w:r>
      <w:proofErr w:type="spellStart"/>
      <w:r w:rsidR="00EB1673" w:rsidRPr="00EB1673">
        <w:rPr>
          <w:b/>
          <w:bCs/>
        </w:rPr>
        <w:t>Latam</w:t>
      </w:r>
      <w:proofErr w:type="spellEnd"/>
      <w:r w:rsidR="00EB1673" w:rsidRPr="00EB1673">
        <w:rPr>
          <w:b/>
          <w:bCs/>
        </w:rPr>
        <w:t xml:space="preserve"> </w:t>
      </w:r>
      <w:proofErr w:type="spellStart"/>
      <w:r w:rsidR="00EB1673" w:rsidRPr="00EB1673">
        <w:rPr>
          <w:b/>
          <w:bCs/>
        </w:rPr>
        <w:t>Corporate</w:t>
      </w:r>
      <w:proofErr w:type="spellEnd"/>
      <w:r w:rsidR="00EB1673" w:rsidRPr="00EB1673">
        <w:rPr>
          <w:b/>
          <w:bCs/>
        </w:rPr>
        <w:t xml:space="preserve"> </w:t>
      </w:r>
      <w:proofErr w:type="spellStart"/>
      <w:r w:rsidR="00EB1673" w:rsidRPr="00EB1673">
        <w:rPr>
          <w:b/>
          <w:bCs/>
        </w:rPr>
        <w:t>Investment</w:t>
      </w:r>
      <w:proofErr w:type="spellEnd"/>
      <w:r w:rsidR="00EB1673" w:rsidRPr="00EB1673">
        <w:rPr>
          <w:b/>
          <w:bCs/>
        </w:rPr>
        <w:t xml:space="preserve"> Grade</w:t>
      </w:r>
      <w:r w:rsidRPr="00EB1673">
        <w:rPr>
          <w:b/>
          <w:bCs/>
        </w:rPr>
        <w:t xml:space="preserve"> </w:t>
      </w:r>
      <w:r w:rsidRPr="00EB1673">
        <w:t>(</w:t>
      </w:r>
      <w:r w:rsidRPr="00EB1673">
        <w:rPr>
          <w:b/>
          <w:bCs/>
        </w:rPr>
        <w:t xml:space="preserve">FM </w:t>
      </w:r>
      <w:proofErr w:type="spellStart"/>
      <w:r w:rsidR="00EB1673" w:rsidRPr="00EB1673">
        <w:rPr>
          <w:b/>
          <w:bCs/>
        </w:rPr>
        <w:t>Latam</w:t>
      </w:r>
      <w:proofErr w:type="spellEnd"/>
      <w:r w:rsidR="00EB1673" w:rsidRPr="00EB1673">
        <w:rPr>
          <w:b/>
          <w:bCs/>
        </w:rPr>
        <w:t xml:space="preserve"> </w:t>
      </w:r>
      <w:proofErr w:type="spellStart"/>
      <w:r w:rsidR="00EB1673" w:rsidRPr="00EB1673">
        <w:rPr>
          <w:b/>
          <w:bCs/>
        </w:rPr>
        <w:t>Corporate</w:t>
      </w:r>
      <w:proofErr w:type="spellEnd"/>
      <w:r w:rsidRPr="00EB1673">
        <w:t xml:space="preserve">) </w:t>
      </w:r>
      <w:r w:rsidR="00E779A3" w:rsidRPr="00EB1673">
        <w:rPr>
          <w:lang w:val="es-ES"/>
        </w:rPr>
        <w:t xml:space="preserve">comenzó sus operaciones el </w:t>
      </w:r>
      <w:r w:rsidR="00EB1673" w:rsidRPr="00EB1673">
        <w:rPr>
          <w:lang w:val="es-ES"/>
        </w:rPr>
        <w:t>24</w:t>
      </w:r>
      <w:r w:rsidR="00E779A3" w:rsidRPr="00EB1673">
        <w:rPr>
          <w:lang w:val="es-ES"/>
        </w:rPr>
        <w:t xml:space="preserve"> de </w:t>
      </w:r>
      <w:r w:rsidR="00EB1673" w:rsidRPr="00EB1673">
        <w:rPr>
          <w:lang w:val="es-ES"/>
        </w:rPr>
        <w:t>febrero</w:t>
      </w:r>
      <w:r w:rsidR="00E779A3" w:rsidRPr="00EB1673">
        <w:rPr>
          <w:lang w:val="es-ES"/>
        </w:rPr>
        <w:t xml:space="preserve"> de 20</w:t>
      </w:r>
      <w:r w:rsidR="00EB1673" w:rsidRPr="00EB1673">
        <w:rPr>
          <w:lang w:val="es-ES"/>
        </w:rPr>
        <w:t>0</w:t>
      </w:r>
      <w:r w:rsidR="00E779A3" w:rsidRPr="00EB1673">
        <w:rPr>
          <w:lang w:val="es-ES"/>
        </w:rPr>
        <w:t xml:space="preserve">3, y corresponde a un fondo mutuo tipo </w:t>
      </w:r>
      <w:r w:rsidR="00EB1673" w:rsidRPr="00EB1673">
        <w:rPr>
          <w:lang w:val="es-ES"/>
        </w:rPr>
        <w:t>6</w:t>
      </w:r>
      <w:r w:rsidR="00E779A3" w:rsidRPr="00EB1673">
        <w:rPr>
          <w:lang w:val="es-ES"/>
        </w:rPr>
        <w:t xml:space="preserve">. Es administrado por Banchile Administradora </w:t>
      </w:r>
      <w:r w:rsidR="00E779A3" w:rsidRPr="00286410">
        <w:rPr>
          <w:lang w:val="es-ES"/>
        </w:rPr>
        <w:t xml:space="preserve">General de </w:t>
      </w:r>
      <w:r w:rsidR="00E779A3" w:rsidRPr="006F48B1">
        <w:rPr>
          <w:lang w:val="es-ES"/>
        </w:rPr>
        <w:t>Fondos S.A. (en adelante Banchile AGF), sociedad filial del Banco de Chile.</w:t>
      </w:r>
    </w:p>
    <w:p w14:paraId="2461D9FF" w14:textId="56C39E99" w:rsidR="00A248EA" w:rsidRDefault="00A248EA" w:rsidP="6BD89CF7">
      <w:pPr>
        <w:spacing w:after="120"/>
        <w:jc w:val="both"/>
        <w:rPr>
          <w:lang w:val="es-ES"/>
        </w:rPr>
      </w:pPr>
      <w:r w:rsidRPr="006F48B1">
        <w:rPr>
          <w:lang w:val="es-ES"/>
        </w:rPr>
        <w:t xml:space="preserve">De acuerdo </w:t>
      </w:r>
      <w:r w:rsidR="3CC03F5F" w:rsidRPr="006F48B1">
        <w:rPr>
          <w:lang w:val="es-ES"/>
        </w:rPr>
        <w:t>con</w:t>
      </w:r>
      <w:r w:rsidRPr="006F48B1">
        <w:rPr>
          <w:lang w:val="es-ES"/>
        </w:rPr>
        <w:t xml:space="preserve"> lo establecido en su reglamento interno, el objetivo del fondo mutuo es ofrecer una alternativa de inversión</w:t>
      </w:r>
      <w:r w:rsidR="00026FFC" w:rsidRPr="006F48B1">
        <w:rPr>
          <w:lang w:val="es-ES"/>
        </w:rPr>
        <w:t xml:space="preserve"> en </w:t>
      </w:r>
      <w:r w:rsidR="00653062" w:rsidRPr="006F48B1">
        <w:rPr>
          <w:lang w:val="es-ES"/>
        </w:rPr>
        <w:t xml:space="preserve">moneda </w:t>
      </w:r>
      <w:r w:rsidR="00533A86" w:rsidRPr="006F48B1">
        <w:rPr>
          <w:lang w:val="es-ES"/>
        </w:rPr>
        <w:t>dólar</w:t>
      </w:r>
      <w:r w:rsidR="00653062" w:rsidRPr="006F48B1">
        <w:rPr>
          <w:lang w:val="es-ES"/>
        </w:rPr>
        <w:t xml:space="preserve"> de los Estados Unidos, </w:t>
      </w:r>
      <w:r w:rsidR="00286410" w:rsidRPr="006F48B1">
        <w:rPr>
          <w:lang w:val="es-ES"/>
        </w:rPr>
        <w:t>cuya cartera esté compuesta principalmente por instrumentos de deuda nacional o extranjer</w:t>
      </w:r>
      <w:r w:rsidR="001F13D3">
        <w:rPr>
          <w:lang w:val="es-ES"/>
        </w:rPr>
        <w:t>a</w:t>
      </w:r>
      <w:r w:rsidRPr="006F48B1">
        <w:rPr>
          <w:lang w:val="es-ES"/>
        </w:rPr>
        <w:t>. Al 3</w:t>
      </w:r>
      <w:r w:rsidR="005639D1" w:rsidRPr="006F48B1">
        <w:rPr>
          <w:lang w:val="es-ES"/>
        </w:rPr>
        <w:t>1</w:t>
      </w:r>
      <w:r w:rsidRPr="006F48B1">
        <w:rPr>
          <w:lang w:val="es-ES"/>
        </w:rPr>
        <w:t xml:space="preserve"> de </w:t>
      </w:r>
      <w:r w:rsidR="002C637F">
        <w:rPr>
          <w:lang w:val="es-ES"/>
        </w:rPr>
        <w:t>noviembre</w:t>
      </w:r>
      <w:r w:rsidRPr="006F48B1">
        <w:rPr>
          <w:lang w:val="es-ES"/>
        </w:rPr>
        <w:t xml:space="preserve"> de 202</w:t>
      </w:r>
      <w:r w:rsidR="00797821">
        <w:rPr>
          <w:lang w:val="es-ES"/>
        </w:rPr>
        <w:t>2</w:t>
      </w:r>
      <w:r w:rsidRPr="006F48B1">
        <w:rPr>
          <w:lang w:val="es-ES"/>
        </w:rPr>
        <w:t xml:space="preserve">, el valor del patrimonio del fondo ascendía </w:t>
      </w:r>
      <w:r w:rsidRPr="00CF75D7">
        <w:rPr>
          <w:lang w:val="es-ES"/>
        </w:rPr>
        <w:t xml:space="preserve">a US$ </w:t>
      </w:r>
      <w:r w:rsidR="00025C6F">
        <w:rPr>
          <w:lang w:val="es-ES"/>
        </w:rPr>
        <w:t>27</w:t>
      </w:r>
      <w:r w:rsidR="006F48B1" w:rsidRPr="00CF75D7">
        <w:rPr>
          <w:lang w:val="es-ES"/>
        </w:rPr>
        <w:t>,</w:t>
      </w:r>
      <w:r w:rsidR="00025C6F">
        <w:rPr>
          <w:lang w:val="es-ES"/>
        </w:rPr>
        <w:t>29</w:t>
      </w:r>
      <w:r w:rsidRPr="00CF75D7">
        <w:rPr>
          <w:lang w:val="es-ES"/>
        </w:rPr>
        <w:t xml:space="preserve"> millones. </w:t>
      </w:r>
    </w:p>
    <w:p w14:paraId="7E1C5749" w14:textId="199F356C" w:rsidR="00BD5C0C" w:rsidRPr="00F23659" w:rsidRDefault="005B7413" w:rsidP="005B7413">
      <w:pPr>
        <w:spacing w:after="120"/>
        <w:jc w:val="both"/>
        <w:rPr>
          <w:lang w:val="es-ES"/>
        </w:rPr>
      </w:pPr>
      <w:r w:rsidRPr="00B152A7">
        <w:rPr>
          <w:lang w:val="es-ES"/>
        </w:rPr>
        <w:t xml:space="preserve">Entre las fortalezas del </w:t>
      </w:r>
      <w:r w:rsidRPr="00B152A7">
        <w:rPr>
          <w:b/>
          <w:bCs/>
          <w:lang w:val="es-ES"/>
        </w:rPr>
        <w:t xml:space="preserve">FM </w:t>
      </w:r>
      <w:proofErr w:type="spellStart"/>
      <w:r w:rsidR="00CE50E4" w:rsidRPr="00B152A7">
        <w:rPr>
          <w:b/>
          <w:bCs/>
          <w:lang w:val="es-ES"/>
        </w:rPr>
        <w:t>Latam</w:t>
      </w:r>
      <w:proofErr w:type="spellEnd"/>
      <w:r w:rsidR="00CE50E4" w:rsidRPr="00B152A7">
        <w:rPr>
          <w:b/>
          <w:bCs/>
          <w:lang w:val="es-ES"/>
        </w:rPr>
        <w:t xml:space="preserve"> </w:t>
      </w:r>
      <w:proofErr w:type="spellStart"/>
      <w:r w:rsidR="00CE50E4" w:rsidRPr="00B152A7">
        <w:rPr>
          <w:b/>
          <w:bCs/>
          <w:lang w:val="es-ES"/>
        </w:rPr>
        <w:t>Corporate</w:t>
      </w:r>
      <w:proofErr w:type="spellEnd"/>
      <w:r w:rsidRPr="00B152A7">
        <w:rPr>
          <w:lang w:val="es-ES"/>
        </w:rPr>
        <w:t xml:space="preserve"> que sirven de fundamento </w:t>
      </w:r>
      <w:r w:rsidR="00430335">
        <w:rPr>
          <w:lang w:val="es-ES"/>
        </w:rPr>
        <w:t>para</w:t>
      </w:r>
      <w:r w:rsidRPr="00B152A7">
        <w:rPr>
          <w:lang w:val="es-ES"/>
        </w:rPr>
        <w:t xml:space="preserve"> la clasificación de riesgo de sus cuotas </w:t>
      </w:r>
      <w:r w:rsidR="00007A0F" w:rsidRPr="00B152A7">
        <w:rPr>
          <w:lang w:val="es-ES"/>
        </w:rPr>
        <w:t>en</w:t>
      </w:r>
      <w:r w:rsidR="00C61E42" w:rsidRPr="00B152A7">
        <w:rPr>
          <w:lang w:val="es-ES"/>
        </w:rPr>
        <w:t xml:space="preserve"> </w:t>
      </w:r>
      <w:r w:rsidR="00C61E42" w:rsidRPr="00B152A7">
        <w:rPr>
          <w:i/>
          <w:iCs/>
          <w:lang w:val="es-ES"/>
        </w:rPr>
        <w:t xml:space="preserve">“Categoría </w:t>
      </w:r>
      <w:proofErr w:type="spellStart"/>
      <w:r w:rsidR="00C61E42" w:rsidRPr="00B152A7">
        <w:rPr>
          <w:i/>
          <w:iCs/>
          <w:lang w:val="es-ES"/>
        </w:rPr>
        <w:t>Afm</w:t>
      </w:r>
      <w:proofErr w:type="spellEnd"/>
      <w:r w:rsidR="00C61E42" w:rsidRPr="00B152A7">
        <w:rPr>
          <w:i/>
          <w:iCs/>
          <w:lang w:val="es-ES"/>
        </w:rPr>
        <w:t>”</w:t>
      </w:r>
      <w:r w:rsidRPr="00B152A7">
        <w:rPr>
          <w:lang w:val="es-ES"/>
        </w:rPr>
        <w:t xml:space="preserve">, </w:t>
      </w:r>
      <w:r w:rsidR="00B23A44" w:rsidRPr="00B152A7">
        <w:rPr>
          <w:lang w:val="es-ES"/>
        </w:rPr>
        <w:t>destaca</w:t>
      </w:r>
      <w:r w:rsidR="00932368" w:rsidRPr="00B152A7">
        <w:rPr>
          <w:lang w:val="es-ES"/>
        </w:rPr>
        <w:t xml:space="preserve"> la administración de Banchile AGF, la que ha mantenido un perfil de riesgo acorde con el reglamento interno</w:t>
      </w:r>
      <w:r w:rsidR="00AD0947" w:rsidRPr="00B152A7">
        <w:rPr>
          <w:lang w:val="es-ES"/>
        </w:rPr>
        <w:t>, con instrumentos clasificado</w:t>
      </w:r>
      <w:r w:rsidR="003E0C35" w:rsidRPr="00B152A7">
        <w:rPr>
          <w:lang w:val="es-ES"/>
        </w:rPr>
        <w:t>s</w:t>
      </w:r>
      <w:r w:rsidR="00B23A44" w:rsidRPr="00B152A7">
        <w:rPr>
          <w:lang w:val="es-ES"/>
        </w:rPr>
        <w:t>,</w:t>
      </w:r>
      <w:r w:rsidR="0006102A" w:rsidRPr="00B152A7">
        <w:rPr>
          <w:lang w:val="es-ES"/>
        </w:rPr>
        <w:t xml:space="preserve"> </w:t>
      </w:r>
      <w:r w:rsidR="00C566DB" w:rsidRPr="00B152A7">
        <w:rPr>
          <w:lang w:val="es-ES"/>
        </w:rPr>
        <w:t>principalmente</w:t>
      </w:r>
      <w:r w:rsidR="00B23A44" w:rsidRPr="00B152A7">
        <w:rPr>
          <w:lang w:val="es-ES"/>
        </w:rPr>
        <w:t>,</w:t>
      </w:r>
      <w:r w:rsidR="00C566DB" w:rsidRPr="00B152A7">
        <w:rPr>
          <w:lang w:val="es-ES"/>
        </w:rPr>
        <w:t xml:space="preserve"> en la familia de </w:t>
      </w:r>
      <w:r w:rsidR="00DE321C" w:rsidRPr="00B152A7">
        <w:rPr>
          <w:lang w:val="es-ES"/>
        </w:rPr>
        <w:t>la categoría</w:t>
      </w:r>
      <w:r w:rsidR="00C566DB" w:rsidRPr="00B152A7">
        <w:rPr>
          <w:lang w:val="es-ES"/>
        </w:rPr>
        <w:t xml:space="preserve"> de las “A”. </w:t>
      </w:r>
      <w:r w:rsidR="006C0535" w:rsidRPr="00F23659">
        <w:rPr>
          <w:lang w:val="es-ES"/>
        </w:rPr>
        <w:t>Lo anterior,</w:t>
      </w:r>
      <w:r w:rsidR="00E37259" w:rsidRPr="00F23659">
        <w:rPr>
          <w:lang w:val="es-ES"/>
        </w:rPr>
        <w:t xml:space="preserve"> resulta en una pérdida esperada, considerando</w:t>
      </w:r>
      <w:r w:rsidR="00DE1704" w:rsidRPr="00F23659">
        <w:rPr>
          <w:lang w:val="es-ES"/>
        </w:rPr>
        <w:t xml:space="preserve"> un horizonte</w:t>
      </w:r>
      <w:r w:rsidR="00955569" w:rsidRPr="00F23659">
        <w:rPr>
          <w:lang w:val="es-ES"/>
        </w:rPr>
        <w:t xml:space="preserve"> de tiempo de </w:t>
      </w:r>
      <w:r w:rsidR="00925BF8" w:rsidRPr="00F23659">
        <w:rPr>
          <w:lang w:val="es-ES"/>
        </w:rPr>
        <w:t>24 meses de</w:t>
      </w:r>
      <w:r w:rsidR="00523DFC" w:rsidRPr="00F23659">
        <w:rPr>
          <w:lang w:val="es-ES"/>
        </w:rPr>
        <w:t xml:space="preserve"> </w:t>
      </w:r>
      <w:r w:rsidR="00F4524A" w:rsidRPr="00F4524A">
        <w:rPr>
          <w:lang w:val="es-ES"/>
        </w:rPr>
        <w:t>0,965916%</w:t>
      </w:r>
      <w:r w:rsidR="00F4524A">
        <w:rPr>
          <w:lang w:val="es-ES"/>
        </w:rPr>
        <w:t>.</w:t>
      </w:r>
    </w:p>
    <w:p w14:paraId="12164597" w14:textId="77777777" w:rsidR="00885AC7" w:rsidRPr="002E11A1" w:rsidRDefault="00885AC7" w:rsidP="00885AC7">
      <w:pPr>
        <w:spacing w:after="120"/>
        <w:jc w:val="both"/>
        <w:rPr>
          <w:bCs/>
          <w:lang w:val="es-ES"/>
        </w:rPr>
      </w:pPr>
      <w:r w:rsidRPr="00F23659">
        <w:rPr>
          <w:bCs/>
          <w:lang w:val="es-ES"/>
        </w:rPr>
        <w:t xml:space="preserve">La evaluación incluye, además, el hecho que los activos del fondo disponen de un mercado secundario formal </w:t>
      </w:r>
      <w:r w:rsidRPr="002E11A1">
        <w:rPr>
          <w:bCs/>
          <w:lang w:val="es-ES"/>
        </w:rPr>
        <w:t>que favorece la liquidez de los instrumentos y permite, a su vez, reflejar adecuadamente su valor de mercado.</w:t>
      </w:r>
    </w:p>
    <w:p w14:paraId="4C6D0FBD" w14:textId="77777777" w:rsidR="00891DFA" w:rsidRPr="00960541" w:rsidRDefault="00891DFA" w:rsidP="00891DFA">
      <w:pPr>
        <w:spacing w:after="120"/>
        <w:jc w:val="both"/>
        <w:rPr>
          <w:lang w:val="es-ES"/>
        </w:rPr>
      </w:pPr>
      <w:r w:rsidRPr="002E11A1">
        <w:rPr>
          <w:lang w:val="es-ES"/>
        </w:rPr>
        <w:t xml:space="preserve">Adicionalmente, la clasificación de las cuotas incorpora como un factor positivo la administración de Banchile </w:t>
      </w:r>
      <w:r w:rsidRPr="00960541">
        <w:rPr>
          <w:lang w:val="es-ES"/>
        </w:rPr>
        <w:t xml:space="preserve">AGF que, en opinión de </w:t>
      </w:r>
      <w:r w:rsidRPr="00960541">
        <w:rPr>
          <w:b/>
          <w:bCs/>
          <w:i/>
          <w:iCs/>
          <w:lang w:val="es-ES"/>
        </w:rPr>
        <w:t>Humphreys</w:t>
      </w:r>
      <w:r w:rsidRPr="00960541">
        <w:rPr>
          <w:lang w:val="es-ES"/>
        </w:rPr>
        <w:t>, posee estándares muy sólidos para gestionar fondos, permitiendo presumir una baja probabilidad de un deterioro significativo en el nivel de riesgo actual de las cuotas.</w:t>
      </w:r>
    </w:p>
    <w:p w14:paraId="0F01B11D" w14:textId="146436E4" w:rsidR="00891DFA" w:rsidRPr="004330FB" w:rsidRDefault="00891DFA" w:rsidP="00891DFA">
      <w:pPr>
        <w:spacing w:after="120"/>
        <w:jc w:val="both"/>
        <w:rPr>
          <w:lang w:val="es-ES"/>
        </w:rPr>
      </w:pPr>
      <w:r w:rsidRPr="00960541">
        <w:rPr>
          <w:lang w:val="es-ES"/>
        </w:rPr>
        <w:lastRenderedPageBreak/>
        <w:t>Sin perjuicio de las fortalezas aludidas, la evaluación se encuentra acotada por la composición de la cartera de inversión, ya que según los límites establecidos en el reglamento interno del fondo (“</w:t>
      </w:r>
      <w:r w:rsidRPr="00960541">
        <w:rPr>
          <w:i/>
          <w:lang w:val="es-ES"/>
        </w:rPr>
        <w:t>Categoría B</w:t>
      </w:r>
      <w:r w:rsidR="009E79D9">
        <w:rPr>
          <w:i/>
          <w:lang w:val="es-ES"/>
        </w:rPr>
        <w:t>-</w:t>
      </w:r>
      <w:r w:rsidRPr="00960541">
        <w:rPr>
          <w:lang w:val="es-ES"/>
        </w:rPr>
        <w:t>”, “</w:t>
      </w:r>
      <w:r w:rsidRPr="00960541">
        <w:rPr>
          <w:i/>
          <w:lang w:val="es-ES"/>
        </w:rPr>
        <w:t>N-3</w:t>
      </w:r>
      <w:r w:rsidRPr="00960541">
        <w:rPr>
          <w:lang w:val="es-ES"/>
        </w:rPr>
        <w:t>”</w:t>
      </w:r>
      <w:r w:rsidR="00155D84" w:rsidRPr="00960541">
        <w:rPr>
          <w:rStyle w:val="Refdenotaalpie"/>
          <w:lang w:val="es-ES"/>
        </w:rPr>
        <w:footnoteReference w:id="3"/>
      </w:r>
      <w:r w:rsidRPr="00960541">
        <w:rPr>
          <w:lang w:val="es-ES"/>
        </w:rPr>
        <w:t>, o superiores), ésta podría variar en el riesgo crediticio de lo</w:t>
      </w:r>
      <w:r w:rsidR="00385DAF" w:rsidRPr="00960541">
        <w:rPr>
          <w:lang w:val="es-ES"/>
        </w:rPr>
        <w:t>s emisores.</w:t>
      </w:r>
      <w:r w:rsidRPr="00960541">
        <w:rPr>
          <w:lang w:val="es-ES"/>
        </w:rPr>
        <w:t xml:space="preserve"> Con todo, algunos atenuantes son la experiencia propia de la AGF en la administración de fondos similares y las restricciones que ésta se impone en la </w:t>
      </w:r>
      <w:r w:rsidRPr="004330FB">
        <w:rPr>
          <w:lang w:val="es-ES"/>
        </w:rPr>
        <w:t xml:space="preserve">evaluación del riesgo de contraparte (autorizados por su matriz). </w:t>
      </w:r>
    </w:p>
    <w:p w14:paraId="4E926C8A" w14:textId="331950E4" w:rsidR="00E779A3" w:rsidRPr="004330FB" w:rsidRDefault="00955483" w:rsidP="00891DFA">
      <w:pPr>
        <w:spacing w:after="120"/>
        <w:jc w:val="both"/>
        <w:rPr>
          <w:bCs/>
          <w:lang w:val="es-ES"/>
        </w:rPr>
      </w:pPr>
      <w:r w:rsidRPr="004330FB">
        <w:rPr>
          <w:bCs/>
          <w:lang w:val="es-ES"/>
        </w:rPr>
        <w:t>Los mecanismos establecidos para evitar conflictos de interés responden, actualmente, a los estándares del mercado local y han sido perfeccionados en línea con las exigencias establecidas por la Comisión para el Mercado Financiero (CMF) sobre dicha materia.</w:t>
      </w:r>
    </w:p>
    <w:p w14:paraId="54592E88" w14:textId="7A71C6F8" w:rsidR="00F22B00" w:rsidRDefault="24D92725" w:rsidP="009E11AE">
      <w:pPr>
        <w:spacing w:after="120"/>
        <w:jc w:val="both"/>
      </w:pPr>
      <w:r w:rsidRPr="004330FB">
        <w:t xml:space="preserve">La clasificación de riesgo de mercado corresponde a </w:t>
      </w:r>
      <w:r w:rsidRPr="58225379">
        <w:rPr>
          <w:i/>
          <w:iCs/>
        </w:rPr>
        <w:t>M</w:t>
      </w:r>
      <w:r w:rsidR="00B57BA8" w:rsidRPr="58225379">
        <w:rPr>
          <w:i/>
          <w:iCs/>
        </w:rPr>
        <w:t>5</w:t>
      </w:r>
      <w:r w:rsidR="002A7339" w:rsidRPr="58225379">
        <w:rPr>
          <w:rStyle w:val="Refdenotaalpie"/>
          <w:i/>
          <w:iCs/>
        </w:rPr>
        <w:footnoteReference w:id="4"/>
      </w:r>
      <w:r w:rsidR="00736DE4" w:rsidRPr="58225379">
        <w:rPr>
          <w:i/>
          <w:iCs/>
        </w:rPr>
        <w:t>,</w:t>
      </w:r>
      <w:r w:rsidR="00736DE4" w:rsidRPr="58225379">
        <w:rPr>
          <w:rFonts w:ascii="Verdana" w:eastAsia="Times New Roman" w:hAnsi="Verdana" w:cs="Times New Roman"/>
          <w:color w:val="auto"/>
          <w:sz w:val="18"/>
          <w:szCs w:val="18"/>
          <w:lang w:eastAsia="es-ES"/>
        </w:rPr>
        <w:t xml:space="preserve"> </w:t>
      </w:r>
      <w:r w:rsidR="0060587E" w:rsidRPr="00C32953">
        <w:t xml:space="preserve">debido a la elevada sensibilidad comparativa de los activos del fondo ante variaciones en la tasa de interés de mercado, considerando </w:t>
      </w:r>
      <w:r w:rsidR="00090D45">
        <w:t xml:space="preserve">la madurez </w:t>
      </w:r>
      <w:r w:rsidR="0060587E" w:rsidRPr="00C32953">
        <w:t>de las inversiones y la calidad crediticia que tienen los emisores de los activos</w:t>
      </w:r>
      <w:r w:rsidR="00743ABB">
        <w:t>,</w:t>
      </w:r>
      <w:r w:rsidR="00743ABB" w:rsidRPr="00743ABB">
        <w:t xml:space="preserve"> </w:t>
      </w:r>
      <w:r w:rsidR="00743ABB" w:rsidRPr="58225379">
        <w:t>adicionalmente,</w:t>
      </w:r>
      <w:r w:rsidR="00090D45">
        <w:t xml:space="preserve"> </w:t>
      </w:r>
      <w:r w:rsidR="00743ABB">
        <w:t>las cuotas d</w:t>
      </w:r>
      <w:r w:rsidR="00F22B00" w:rsidRPr="58225379">
        <w:t xml:space="preserve">el fondo </w:t>
      </w:r>
      <w:r w:rsidR="00743ABB">
        <w:t>se expresan</w:t>
      </w:r>
      <w:r w:rsidR="00505986">
        <w:t xml:space="preserve"> </w:t>
      </w:r>
      <w:r w:rsidR="00F22B00" w:rsidRPr="58225379">
        <w:t xml:space="preserve">en </w:t>
      </w:r>
      <w:r w:rsidR="003A17A1">
        <w:t>dólares.</w:t>
      </w:r>
    </w:p>
    <w:p w14:paraId="0CE6C124" w14:textId="2F5B048A" w:rsidR="00043283" w:rsidRDefault="00857154" w:rsidP="009E11AE">
      <w:pPr>
        <w:spacing w:after="120"/>
        <w:jc w:val="both"/>
      </w:pPr>
      <w:r>
        <w:t>L</w:t>
      </w:r>
      <w:r w:rsidR="00043283">
        <w:t xml:space="preserve">a tendencia de clasificación se califica en </w:t>
      </w:r>
      <w:r w:rsidR="00043283" w:rsidRPr="58225379">
        <w:rPr>
          <w:i/>
          <w:iCs/>
        </w:rPr>
        <w:t>“Estable”</w:t>
      </w:r>
      <w:r>
        <w:t xml:space="preserve"> a pe</w:t>
      </w:r>
      <w:r w:rsidR="00960231">
        <w:t>sar del aumento de la pérdida esperada durante los últimos meses, ya que el promedio de los últimos 24 meses conti</w:t>
      </w:r>
      <w:r w:rsidR="001908D2">
        <w:t>núa dentro de los rangos apropiados para mantener la clasificación asignada</w:t>
      </w:r>
      <w:r w:rsidR="00C44EA8">
        <w:t xml:space="preserve">. </w:t>
      </w:r>
      <w:r w:rsidR="000971AE">
        <w:t xml:space="preserve">Sin embargo, no se puede desconocer que este promedio ha aumentado </w:t>
      </w:r>
      <w:r w:rsidR="00CA2EDB">
        <w:t xml:space="preserve">acorde </w:t>
      </w:r>
      <w:r w:rsidR="333F3AB1">
        <w:t xml:space="preserve">con el cambio en la composición de la </w:t>
      </w:r>
      <w:r w:rsidR="00560DEE">
        <w:t>cartera de activos que posee el fondo</w:t>
      </w:r>
      <w:r w:rsidR="6C864A38">
        <w:t>; con todo,</w:t>
      </w:r>
      <w:r w:rsidR="00560DEE">
        <w:t xml:space="preserve"> se espera que </w:t>
      </w:r>
      <w:r w:rsidR="6002A2A1">
        <w:t xml:space="preserve">el </w:t>
      </w:r>
      <w:r w:rsidR="00704076">
        <w:t>portafolio vaya</w:t>
      </w:r>
      <w:r w:rsidR="00560DEE">
        <w:t xml:space="preserve"> reduciendo su participación en emisores con mayor riesgo crediticio</w:t>
      </w:r>
      <w:r w:rsidR="008E61CD">
        <w:t xml:space="preserve">, </w:t>
      </w:r>
      <w:r w:rsidR="234D0FA2">
        <w:t>según lo expresado por la administradora del fondo</w:t>
      </w:r>
      <w:r w:rsidR="008E61CD">
        <w:t>.</w:t>
      </w:r>
    </w:p>
    <w:p w14:paraId="7FB93B92" w14:textId="00677D96" w:rsidR="006607BD" w:rsidRPr="006607BD" w:rsidRDefault="006607BD" w:rsidP="006607BD">
      <w:pPr>
        <w:spacing w:after="120"/>
        <w:jc w:val="both"/>
      </w:pPr>
      <w:r w:rsidRPr="002B464B">
        <w:t xml:space="preserve">Para la mantención de la clasificación </w:t>
      </w:r>
      <w:r w:rsidR="002B464B" w:rsidRPr="002B464B">
        <w:t xml:space="preserve">es necesario que la cartera de inversiones mejore la calidad crediticia de los emisores </w:t>
      </w:r>
      <w:r w:rsidRPr="002B464B">
        <w:t>y que la sociedad administradora mantenga los actuales estándares de calidad.</w:t>
      </w:r>
    </w:p>
    <w:tbl>
      <w:tblPr>
        <w:tblW w:w="7656" w:type="dxa"/>
        <w:jc w:val="center"/>
        <w:tblCellMar>
          <w:left w:w="70" w:type="dxa"/>
          <w:right w:w="70" w:type="dxa"/>
        </w:tblCellMar>
        <w:tblLook w:val="04A0" w:firstRow="1" w:lastRow="0" w:firstColumn="1" w:lastColumn="0" w:noHBand="0" w:noVBand="1"/>
      </w:tblPr>
      <w:tblGrid>
        <w:gridCol w:w="7656"/>
      </w:tblGrid>
      <w:tr w:rsidR="00FB2267" w:rsidRPr="006607BD" w14:paraId="16555217" w14:textId="77777777" w:rsidTr="0095196B">
        <w:trPr>
          <w:trHeight w:val="283"/>
          <w:jc w:val="center"/>
        </w:trPr>
        <w:tc>
          <w:tcPr>
            <w:tcW w:w="7656" w:type="dxa"/>
            <w:tcBorders>
              <w:top w:val="nil"/>
              <w:left w:val="nil"/>
              <w:bottom w:val="nil"/>
              <w:right w:val="nil"/>
            </w:tcBorders>
            <w:shd w:val="clear" w:color="000000" w:fill="BB1823"/>
            <w:noWrap/>
            <w:vAlign w:val="center"/>
            <w:hideMark/>
          </w:tcPr>
          <w:p w14:paraId="585A2BF6" w14:textId="77777777" w:rsidR="00FB2267" w:rsidRPr="00626C9D" w:rsidRDefault="00FB2267" w:rsidP="00FB2267">
            <w:pPr>
              <w:jc w:val="center"/>
              <w:rPr>
                <w:rFonts w:eastAsia="Times New Roman" w:cs="Arial"/>
                <w:b/>
                <w:bCs/>
                <w:color w:val="FFFFFF"/>
                <w:sz w:val="18"/>
                <w:szCs w:val="18"/>
                <w:lang w:eastAsia="es-CL"/>
              </w:rPr>
            </w:pPr>
            <w:r w:rsidRPr="00626C9D">
              <w:rPr>
                <w:rFonts w:eastAsia="Times New Roman" w:cs="Arial"/>
                <w:b/>
                <w:bCs/>
                <w:color w:val="FFFFFF"/>
                <w:sz w:val="18"/>
                <w:szCs w:val="18"/>
                <w:lang w:eastAsia="es-CL"/>
              </w:rPr>
              <w:t>Resumen Fundamentos Clasificación (no considera riesgo de Mercado)</w:t>
            </w:r>
          </w:p>
        </w:tc>
      </w:tr>
      <w:tr w:rsidR="00FB2267" w:rsidRPr="00311D1A" w14:paraId="1E40BDAD" w14:textId="77777777" w:rsidTr="0095196B">
        <w:trPr>
          <w:trHeight w:val="283"/>
          <w:jc w:val="center"/>
        </w:trPr>
        <w:tc>
          <w:tcPr>
            <w:tcW w:w="7656" w:type="dxa"/>
            <w:tcBorders>
              <w:top w:val="nil"/>
              <w:left w:val="nil"/>
              <w:right w:val="nil"/>
            </w:tcBorders>
            <w:shd w:val="clear" w:color="auto" w:fill="auto"/>
            <w:noWrap/>
            <w:vAlign w:val="center"/>
            <w:hideMark/>
          </w:tcPr>
          <w:p w14:paraId="457B177C" w14:textId="3C0793DE" w:rsidR="00FB2267" w:rsidRPr="00626C9D" w:rsidRDefault="00FB2267" w:rsidP="00FB2267">
            <w:pPr>
              <w:rPr>
                <w:b/>
                <w:bCs/>
                <w:sz w:val="18"/>
                <w:szCs w:val="18"/>
              </w:rPr>
            </w:pPr>
            <w:r w:rsidRPr="00626C9D">
              <w:rPr>
                <w:b/>
                <w:bCs/>
                <w:sz w:val="18"/>
                <w:szCs w:val="18"/>
              </w:rPr>
              <w:t>Fortalezas centrales</w:t>
            </w:r>
          </w:p>
        </w:tc>
      </w:tr>
      <w:tr w:rsidR="00FB2267" w:rsidRPr="00311D1A" w14:paraId="44473AED" w14:textId="77777777" w:rsidTr="0095196B">
        <w:trPr>
          <w:trHeight w:val="283"/>
          <w:jc w:val="center"/>
        </w:trPr>
        <w:tc>
          <w:tcPr>
            <w:tcW w:w="7656" w:type="dxa"/>
            <w:tcBorders>
              <w:top w:val="nil"/>
              <w:left w:val="nil"/>
              <w:bottom w:val="nil"/>
              <w:right w:val="nil"/>
            </w:tcBorders>
            <w:shd w:val="clear" w:color="auto" w:fill="auto"/>
            <w:noWrap/>
            <w:vAlign w:val="center"/>
            <w:hideMark/>
          </w:tcPr>
          <w:p w14:paraId="630D5B25" w14:textId="4A1EDD1D" w:rsidR="000B34D8" w:rsidRPr="00626C9D" w:rsidRDefault="008861A7" w:rsidP="00BC5687">
            <w:pPr>
              <w:pStyle w:val="Prrafodelista"/>
              <w:numPr>
                <w:ilvl w:val="0"/>
                <w:numId w:val="11"/>
              </w:numPr>
              <w:rPr>
                <w:sz w:val="18"/>
                <w:szCs w:val="18"/>
              </w:rPr>
            </w:pPr>
            <w:r w:rsidRPr="00626C9D">
              <w:rPr>
                <w:sz w:val="18"/>
                <w:szCs w:val="18"/>
              </w:rPr>
              <w:t xml:space="preserve">Cartera de </w:t>
            </w:r>
            <w:r w:rsidR="000B34D8" w:rsidRPr="00626C9D">
              <w:rPr>
                <w:sz w:val="18"/>
                <w:szCs w:val="18"/>
              </w:rPr>
              <w:t xml:space="preserve">inversiones con instrumentos de </w:t>
            </w:r>
            <w:r w:rsidR="00626C9D" w:rsidRPr="00626C9D">
              <w:rPr>
                <w:sz w:val="18"/>
                <w:szCs w:val="18"/>
              </w:rPr>
              <w:t>moderado</w:t>
            </w:r>
            <w:r w:rsidR="000B34D8" w:rsidRPr="00626C9D">
              <w:rPr>
                <w:sz w:val="18"/>
                <w:szCs w:val="18"/>
              </w:rPr>
              <w:t xml:space="preserve"> riesgo.</w:t>
            </w:r>
          </w:p>
          <w:p w14:paraId="34B95038" w14:textId="564AAE06" w:rsidR="00FB2267" w:rsidRPr="00626C9D" w:rsidRDefault="00FB2267" w:rsidP="00DC3E08">
            <w:pPr>
              <w:ind w:left="360"/>
              <w:rPr>
                <w:sz w:val="18"/>
                <w:szCs w:val="18"/>
              </w:rPr>
            </w:pPr>
          </w:p>
        </w:tc>
      </w:tr>
      <w:tr w:rsidR="00FB2267" w:rsidRPr="00311D1A" w14:paraId="21EA54E1" w14:textId="77777777" w:rsidTr="0095196B">
        <w:trPr>
          <w:trHeight w:val="283"/>
          <w:jc w:val="center"/>
        </w:trPr>
        <w:tc>
          <w:tcPr>
            <w:tcW w:w="7656" w:type="dxa"/>
            <w:tcBorders>
              <w:top w:val="nil"/>
              <w:left w:val="nil"/>
              <w:bottom w:val="dotted" w:sz="4" w:space="0" w:color="AE1619"/>
              <w:right w:val="nil"/>
            </w:tcBorders>
            <w:shd w:val="clear" w:color="auto" w:fill="auto"/>
            <w:noWrap/>
            <w:vAlign w:val="center"/>
            <w:hideMark/>
          </w:tcPr>
          <w:p w14:paraId="499E0DA8" w14:textId="77777777" w:rsidR="00FB2267" w:rsidRPr="00626C9D" w:rsidRDefault="00FB2267" w:rsidP="00BC5687">
            <w:pPr>
              <w:pStyle w:val="Prrafodelista"/>
              <w:numPr>
                <w:ilvl w:val="0"/>
                <w:numId w:val="11"/>
              </w:numPr>
              <w:rPr>
                <w:sz w:val="18"/>
                <w:szCs w:val="18"/>
              </w:rPr>
            </w:pPr>
            <w:r w:rsidRPr="00626C9D">
              <w:rPr>
                <w:sz w:val="18"/>
                <w:szCs w:val="18"/>
              </w:rPr>
              <w:t>Elevada liquidez de los activos y las cuotas del fondo.</w:t>
            </w:r>
          </w:p>
          <w:p w14:paraId="7BAC73FB" w14:textId="6FA56770" w:rsidR="000B34D8" w:rsidRPr="00626C9D" w:rsidRDefault="000B34D8" w:rsidP="00BC5687">
            <w:pPr>
              <w:pStyle w:val="Prrafodelista"/>
              <w:numPr>
                <w:ilvl w:val="0"/>
                <w:numId w:val="11"/>
              </w:numPr>
              <w:rPr>
                <w:sz w:val="18"/>
                <w:szCs w:val="18"/>
              </w:rPr>
            </w:pPr>
            <w:r w:rsidRPr="00626C9D">
              <w:rPr>
                <w:sz w:val="18"/>
                <w:szCs w:val="18"/>
              </w:rPr>
              <w:t>Valorización de las cuotas es representativa de su valor de mercado.</w:t>
            </w:r>
          </w:p>
        </w:tc>
      </w:tr>
      <w:tr w:rsidR="00FB2267" w:rsidRPr="00311D1A" w14:paraId="48E5F324" w14:textId="77777777" w:rsidTr="0095196B">
        <w:trPr>
          <w:trHeight w:val="283"/>
          <w:jc w:val="center"/>
        </w:trPr>
        <w:tc>
          <w:tcPr>
            <w:tcW w:w="7656" w:type="dxa"/>
            <w:tcBorders>
              <w:top w:val="nil"/>
              <w:left w:val="nil"/>
              <w:bottom w:val="nil"/>
              <w:right w:val="nil"/>
            </w:tcBorders>
            <w:shd w:val="clear" w:color="auto" w:fill="auto"/>
            <w:noWrap/>
            <w:vAlign w:val="center"/>
            <w:hideMark/>
          </w:tcPr>
          <w:p w14:paraId="5512AF8F" w14:textId="2E17E193" w:rsidR="00FB2267" w:rsidRPr="00626C9D" w:rsidRDefault="00FB2267" w:rsidP="00FB2267">
            <w:pPr>
              <w:rPr>
                <w:b/>
                <w:bCs/>
                <w:sz w:val="18"/>
                <w:szCs w:val="18"/>
              </w:rPr>
            </w:pPr>
            <w:r w:rsidRPr="00626C9D">
              <w:rPr>
                <w:b/>
                <w:bCs/>
                <w:sz w:val="18"/>
                <w:szCs w:val="18"/>
              </w:rPr>
              <w:t>Fortalezas complementarias</w:t>
            </w:r>
          </w:p>
        </w:tc>
      </w:tr>
      <w:tr w:rsidR="00FB2267" w:rsidRPr="00311D1A" w14:paraId="72EEE5F0" w14:textId="77777777" w:rsidTr="0095196B">
        <w:trPr>
          <w:trHeight w:val="283"/>
          <w:jc w:val="center"/>
        </w:trPr>
        <w:tc>
          <w:tcPr>
            <w:tcW w:w="7656" w:type="dxa"/>
            <w:tcBorders>
              <w:top w:val="nil"/>
              <w:left w:val="nil"/>
              <w:right w:val="nil"/>
            </w:tcBorders>
            <w:shd w:val="clear" w:color="auto" w:fill="auto"/>
            <w:noWrap/>
            <w:vAlign w:val="center"/>
            <w:hideMark/>
          </w:tcPr>
          <w:p w14:paraId="38AD7F06" w14:textId="53709127" w:rsidR="006703A0" w:rsidRPr="00626C9D" w:rsidRDefault="00FB2267" w:rsidP="00626C9D">
            <w:pPr>
              <w:pStyle w:val="Prrafodelista"/>
              <w:numPr>
                <w:ilvl w:val="0"/>
                <w:numId w:val="12"/>
              </w:numPr>
              <w:rPr>
                <w:sz w:val="18"/>
                <w:szCs w:val="18"/>
              </w:rPr>
            </w:pPr>
            <w:r w:rsidRPr="00626C9D">
              <w:rPr>
                <w:sz w:val="18"/>
                <w:szCs w:val="18"/>
              </w:rPr>
              <w:t>La AGF presenta estándares muy sólidos en relación con su gestión.</w:t>
            </w:r>
          </w:p>
        </w:tc>
      </w:tr>
      <w:tr w:rsidR="00FB2267" w:rsidRPr="00311D1A" w14:paraId="37749E9C" w14:textId="77777777" w:rsidTr="0095196B">
        <w:trPr>
          <w:trHeight w:val="283"/>
          <w:jc w:val="center"/>
        </w:trPr>
        <w:tc>
          <w:tcPr>
            <w:tcW w:w="7656" w:type="dxa"/>
            <w:tcBorders>
              <w:top w:val="nil"/>
              <w:left w:val="nil"/>
              <w:bottom w:val="dotted" w:sz="4" w:space="0" w:color="C00000"/>
              <w:right w:val="nil"/>
            </w:tcBorders>
            <w:shd w:val="clear" w:color="auto" w:fill="auto"/>
            <w:noWrap/>
            <w:vAlign w:val="center"/>
            <w:hideMark/>
          </w:tcPr>
          <w:p w14:paraId="51F82372" w14:textId="1EC9846B" w:rsidR="00FB2267" w:rsidRPr="00626C9D" w:rsidRDefault="00FB2267" w:rsidP="00BC5687">
            <w:pPr>
              <w:pStyle w:val="Prrafodelista"/>
              <w:numPr>
                <w:ilvl w:val="0"/>
                <w:numId w:val="12"/>
              </w:numPr>
              <w:rPr>
                <w:sz w:val="18"/>
                <w:szCs w:val="18"/>
              </w:rPr>
            </w:pPr>
            <w:r w:rsidRPr="00626C9D">
              <w:rPr>
                <w:sz w:val="18"/>
                <w:szCs w:val="18"/>
              </w:rPr>
              <w:t>Adecuado manejo de conflictos de interés.</w:t>
            </w:r>
          </w:p>
        </w:tc>
      </w:tr>
      <w:tr w:rsidR="00FB2267" w:rsidRPr="00311D1A" w14:paraId="7ECC84D6" w14:textId="77777777" w:rsidTr="0095196B">
        <w:trPr>
          <w:trHeight w:val="283"/>
          <w:jc w:val="center"/>
        </w:trPr>
        <w:tc>
          <w:tcPr>
            <w:tcW w:w="7656" w:type="dxa"/>
            <w:tcBorders>
              <w:top w:val="dotted" w:sz="4" w:space="0" w:color="C00000"/>
              <w:left w:val="nil"/>
              <w:bottom w:val="nil"/>
              <w:right w:val="nil"/>
            </w:tcBorders>
            <w:shd w:val="clear" w:color="auto" w:fill="auto"/>
            <w:noWrap/>
            <w:vAlign w:val="center"/>
            <w:hideMark/>
          </w:tcPr>
          <w:p w14:paraId="06E0F2BA" w14:textId="0EB2F4DF" w:rsidR="00FB2267" w:rsidRPr="00626C9D" w:rsidRDefault="00FB2267" w:rsidP="00FB2267">
            <w:pPr>
              <w:rPr>
                <w:b/>
                <w:bCs/>
                <w:sz w:val="18"/>
                <w:szCs w:val="18"/>
              </w:rPr>
            </w:pPr>
            <w:r w:rsidRPr="00626C9D">
              <w:rPr>
                <w:b/>
                <w:bCs/>
                <w:sz w:val="18"/>
                <w:szCs w:val="18"/>
              </w:rPr>
              <w:t>Limitantes</w:t>
            </w:r>
          </w:p>
        </w:tc>
      </w:tr>
      <w:tr w:rsidR="00FB2267" w:rsidRPr="00311D1A" w14:paraId="31439C13" w14:textId="77777777" w:rsidTr="0095196B">
        <w:trPr>
          <w:trHeight w:val="283"/>
          <w:jc w:val="center"/>
        </w:trPr>
        <w:tc>
          <w:tcPr>
            <w:tcW w:w="7656" w:type="dxa"/>
            <w:tcBorders>
              <w:top w:val="nil"/>
              <w:left w:val="nil"/>
              <w:bottom w:val="dotted" w:sz="4" w:space="0" w:color="AE1619"/>
              <w:right w:val="nil"/>
            </w:tcBorders>
            <w:shd w:val="clear" w:color="auto" w:fill="auto"/>
            <w:noWrap/>
            <w:vAlign w:val="center"/>
            <w:hideMark/>
          </w:tcPr>
          <w:p w14:paraId="0710F996" w14:textId="07C11B2A" w:rsidR="00FB2267" w:rsidRPr="00626C9D" w:rsidRDefault="001575CA" w:rsidP="00BC5687">
            <w:pPr>
              <w:pStyle w:val="Prrafodelista"/>
              <w:numPr>
                <w:ilvl w:val="0"/>
                <w:numId w:val="13"/>
              </w:numPr>
              <w:rPr>
                <w:sz w:val="18"/>
                <w:szCs w:val="18"/>
              </w:rPr>
            </w:pPr>
            <w:r w:rsidRPr="00AC1A58">
              <w:rPr>
                <w:sz w:val="18"/>
                <w:szCs w:val="18"/>
              </w:rPr>
              <w:t>Límite en relación al riesgo de los activos amplio.</w:t>
            </w:r>
          </w:p>
        </w:tc>
      </w:tr>
    </w:tbl>
    <w:p w14:paraId="61A0631A" w14:textId="5F3277FC" w:rsidR="00EE2929" w:rsidRPr="00311D1A" w:rsidRDefault="00EE2929">
      <w:pPr>
        <w:rPr>
          <w:highlight w:val="yellow"/>
        </w:rPr>
      </w:pPr>
    </w:p>
    <w:p w14:paraId="10E36F1F" w14:textId="5CA5D439" w:rsidR="005D37AC" w:rsidRPr="00311D1A" w:rsidRDefault="005D37AC">
      <w:pPr>
        <w:rPr>
          <w:highlight w:val="yellow"/>
        </w:rPr>
      </w:pPr>
    </w:p>
    <w:p w14:paraId="6A411108" w14:textId="77777777" w:rsidR="00137770" w:rsidRDefault="008F31D2">
      <w:pPr>
        <w:rPr>
          <w:highlight w:val="yellow"/>
        </w:rPr>
      </w:pPr>
      <w:r w:rsidRPr="00311D1A">
        <w:rPr>
          <w:highlight w:val="yellow"/>
        </w:rPr>
        <w:br w:type="page"/>
      </w:r>
    </w:p>
    <w:tbl>
      <w:tblPr>
        <w:tblW w:w="4805" w:type="pct"/>
        <w:tblLayout w:type="fixed"/>
        <w:tblCellMar>
          <w:left w:w="70" w:type="dxa"/>
          <w:right w:w="70" w:type="dxa"/>
        </w:tblCellMar>
        <w:tblLook w:val="04A0" w:firstRow="1" w:lastRow="0" w:firstColumn="1" w:lastColumn="0" w:noHBand="0" w:noVBand="1"/>
      </w:tblPr>
      <w:tblGrid>
        <w:gridCol w:w="5668"/>
        <w:gridCol w:w="3679"/>
      </w:tblGrid>
      <w:tr w:rsidR="00137770" w:rsidRPr="007F4C24" w14:paraId="2C27B51E" w14:textId="77777777" w:rsidTr="0095196B">
        <w:trPr>
          <w:trHeight w:val="283"/>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AE1619"/>
            <w:noWrap/>
            <w:vAlign w:val="center"/>
            <w:hideMark/>
          </w:tcPr>
          <w:p w14:paraId="5D37438F" w14:textId="0246EA61" w:rsidR="00137770" w:rsidRPr="00431A42" w:rsidRDefault="00137770">
            <w:pPr>
              <w:jc w:val="center"/>
              <w:rPr>
                <w:rFonts w:eastAsia="Times New Roman" w:cs="Calibri"/>
                <w:b/>
                <w:bCs/>
                <w:color w:val="FFFFFF"/>
                <w:sz w:val="16"/>
                <w:szCs w:val="16"/>
                <w:lang w:eastAsia="es-CL"/>
              </w:rPr>
            </w:pPr>
            <w:r w:rsidRPr="00431A42">
              <w:rPr>
                <w:rFonts w:eastAsia="Times New Roman" w:cs="Calibri"/>
                <w:b/>
                <w:bCs/>
                <w:color w:val="FFFFFF"/>
                <w:sz w:val="16"/>
                <w:szCs w:val="16"/>
                <w:lang w:eastAsia="es-CL"/>
              </w:rPr>
              <w:lastRenderedPageBreak/>
              <w:t>Consideraciones Comisión Clasificadora de Riesgo</w:t>
            </w:r>
          </w:p>
        </w:tc>
      </w:tr>
      <w:tr w:rsidR="00137770" w:rsidRPr="007F4C24" w14:paraId="565481F8" w14:textId="77777777" w:rsidTr="0095196B">
        <w:trPr>
          <w:trHeight w:val="283"/>
        </w:trPr>
        <w:tc>
          <w:tcPr>
            <w:tcW w:w="3032" w:type="pct"/>
            <w:tcBorders>
              <w:top w:val="nil"/>
              <w:left w:val="nil"/>
              <w:right w:val="single" w:sz="8" w:space="0" w:color="FFFFFF"/>
            </w:tcBorders>
            <w:shd w:val="clear" w:color="auto" w:fill="AE1619"/>
            <w:noWrap/>
            <w:vAlign w:val="center"/>
            <w:hideMark/>
          </w:tcPr>
          <w:p w14:paraId="0A5C1685" w14:textId="77777777" w:rsidR="00137770" w:rsidRPr="00431A42" w:rsidRDefault="00BA37AC">
            <w:pPr>
              <w:jc w:val="center"/>
              <w:rPr>
                <w:rFonts w:eastAsia="Times New Roman" w:cs="Calibri"/>
                <w:b/>
                <w:bCs/>
                <w:color w:val="FFFFFF"/>
                <w:sz w:val="16"/>
                <w:szCs w:val="16"/>
                <w:lang w:eastAsia="es-CL"/>
              </w:rPr>
            </w:pPr>
            <w:hyperlink r:id="rId11" w:anchor="RANGE!_ftn1" w:history="1">
              <w:r w:rsidR="00137770" w:rsidRPr="00431A42">
                <w:rPr>
                  <w:rFonts w:eastAsia="Times New Roman" w:cs="Calibri"/>
                  <w:b/>
                  <w:bCs/>
                  <w:color w:val="FFFFFF"/>
                  <w:sz w:val="16"/>
                  <w:szCs w:val="16"/>
                  <w:lang w:eastAsia="es-CL"/>
                </w:rPr>
                <w:t>Acuerdo N°31</w:t>
              </w:r>
            </w:hyperlink>
            <w:r w:rsidR="00137770" w:rsidRPr="00431A42">
              <w:rPr>
                <w:rFonts w:eastAsia="Times New Roman" w:cs="Calibri"/>
                <w:b/>
                <w:bCs/>
                <w:color w:val="FFFFFF"/>
                <w:sz w:val="16"/>
                <w:szCs w:val="16"/>
                <w:vertAlign w:val="superscript"/>
                <w:lang w:eastAsia="es-CL"/>
              </w:rPr>
              <w:footnoteReference w:id="5"/>
            </w:r>
          </w:p>
        </w:tc>
        <w:tc>
          <w:tcPr>
            <w:tcW w:w="1968" w:type="pct"/>
            <w:tcBorders>
              <w:top w:val="nil"/>
              <w:left w:val="nil"/>
              <w:right w:val="single" w:sz="8" w:space="0" w:color="FFFFFF"/>
            </w:tcBorders>
            <w:shd w:val="clear" w:color="auto" w:fill="AE1619"/>
            <w:noWrap/>
            <w:vAlign w:val="center"/>
            <w:hideMark/>
          </w:tcPr>
          <w:p w14:paraId="09D89EE6" w14:textId="77777777" w:rsidR="00137770" w:rsidRPr="00431A42" w:rsidRDefault="00137770">
            <w:pPr>
              <w:jc w:val="center"/>
              <w:rPr>
                <w:rFonts w:eastAsia="Times New Roman" w:cs="Calibri"/>
                <w:b/>
                <w:bCs/>
                <w:color w:val="FFFFFF"/>
                <w:sz w:val="16"/>
                <w:szCs w:val="16"/>
                <w:lang w:eastAsia="es-CL"/>
              </w:rPr>
            </w:pPr>
            <w:r w:rsidRPr="00431A42">
              <w:rPr>
                <w:rFonts w:eastAsia="Times New Roman" w:cs="Calibri"/>
                <w:b/>
                <w:bCs/>
                <w:color w:val="FFFFFF"/>
                <w:sz w:val="16"/>
                <w:szCs w:val="16"/>
                <w:lang w:eastAsia="es-CL"/>
              </w:rPr>
              <w:t>Referencia</w:t>
            </w:r>
          </w:p>
        </w:tc>
      </w:tr>
      <w:tr w:rsidR="00137770" w:rsidRPr="007F4C24" w14:paraId="69CF5800" w14:textId="77777777" w:rsidTr="0095196B">
        <w:trPr>
          <w:trHeight w:val="283"/>
        </w:trPr>
        <w:tc>
          <w:tcPr>
            <w:tcW w:w="3032" w:type="pct"/>
            <w:tcBorders>
              <w:top w:val="nil"/>
              <w:bottom w:val="dotted" w:sz="4" w:space="0" w:color="AE1619"/>
            </w:tcBorders>
            <w:shd w:val="clear" w:color="auto" w:fill="auto"/>
            <w:vAlign w:val="center"/>
            <w:hideMark/>
          </w:tcPr>
          <w:p w14:paraId="030AEB94" w14:textId="77777777" w:rsidR="00137770" w:rsidRPr="00431A42" w:rsidRDefault="00137770">
            <w:pPr>
              <w:rPr>
                <w:rFonts w:eastAsia="Times New Roman" w:cs="Calibri"/>
                <w:sz w:val="16"/>
                <w:szCs w:val="16"/>
                <w:lang w:eastAsia="es-CL"/>
              </w:rPr>
            </w:pPr>
            <w:r w:rsidRPr="00431A42">
              <w:rPr>
                <w:rFonts w:eastAsia="Times New Roman" w:cs="Calibri"/>
                <w:sz w:val="16"/>
                <w:szCs w:val="16"/>
                <w:lang w:eastAsia="es-CL"/>
              </w:rPr>
              <w:t>Claridad y precisión de los objetivos del fondo.</w:t>
            </w:r>
          </w:p>
        </w:tc>
        <w:tc>
          <w:tcPr>
            <w:tcW w:w="1968" w:type="pct"/>
            <w:tcBorders>
              <w:top w:val="nil"/>
              <w:bottom w:val="dotted" w:sz="4" w:space="0" w:color="AE1619"/>
            </w:tcBorders>
            <w:shd w:val="clear" w:color="auto" w:fill="auto"/>
            <w:vAlign w:val="center"/>
            <w:hideMark/>
          </w:tcPr>
          <w:p w14:paraId="54FC3021" w14:textId="77777777" w:rsidR="00137770" w:rsidRPr="00431A42" w:rsidRDefault="00137770">
            <w:pPr>
              <w:jc w:val="center"/>
              <w:rPr>
                <w:rFonts w:eastAsia="Times New Roman" w:cs="Calibri"/>
                <w:sz w:val="16"/>
                <w:szCs w:val="16"/>
                <w:lang w:eastAsia="es-CL"/>
              </w:rPr>
            </w:pPr>
            <w:r w:rsidRPr="00431A42">
              <w:rPr>
                <w:rFonts w:eastAsia="Times New Roman" w:cs="Calibri"/>
                <w:sz w:val="16"/>
                <w:szCs w:val="16"/>
                <w:lang w:eastAsia="es-CL"/>
              </w:rPr>
              <w:t>Objetivos del fondo</w:t>
            </w:r>
          </w:p>
        </w:tc>
      </w:tr>
      <w:tr w:rsidR="00137770" w:rsidRPr="007F4C24" w14:paraId="2439CF6B" w14:textId="77777777" w:rsidTr="0095196B">
        <w:trPr>
          <w:trHeight w:val="283"/>
        </w:trPr>
        <w:tc>
          <w:tcPr>
            <w:tcW w:w="3032" w:type="pct"/>
            <w:tcBorders>
              <w:top w:val="dotted" w:sz="4" w:space="0" w:color="AE1619"/>
              <w:bottom w:val="dotted" w:sz="4" w:space="0" w:color="AE1619"/>
            </w:tcBorders>
            <w:shd w:val="clear" w:color="auto" w:fill="auto"/>
            <w:vAlign w:val="center"/>
            <w:hideMark/>
          </w:tcPr>
          <w:p w14:paraId="526FEC10" w14:textId="77777777" w:rsidR="00137770" w:rsidRPr="00431A42" w:rsidRDefault="00137770">
            <w:pPr>
              <w:rPr>
                <w:rFonts w:eastAsia="Times New Roman" w:cs="Calibri"/>
                <w:sz w:val="16"/>
                <w:szCs w:val="16"/>
                <w:lang w:eastAsia="es-CL"/>
              </w:rPr>
            </w:pPr>
            <w:r w:rsidRPr="00431A42">
              <w:rPr>
                <w:rFonts w:eastAsia="Times New Roman" w:cs="Calibri"/>
                <w:sz w:val="16"/>
                <w:szCs w:val="16"/>
                <w:lang w:eastAsia="es-CL"/>
              </w:rPr>
              <w:t>Grado de orientación de las políticas y coherencia con el reglamento interno.</w:t>
            </w:r>
          </w:p>
        </w:tc>
        <w:tc>
          <w:tcPr>
            <w:tcW w:w="1968" w:type="pct"/>
            <w:tcBorders>
              <w:top w:val="dotted" w:sz="4" w:space="0" w:color="AE1619"/>
              <w:bottom w:val="dotted" w:sz="4" w:space="0" w:color="AE1619"/>
            </w:tcBorders>
            <w:shd w:val="clear" w:color="auto" w:fill="auto"/>
            <w:vAlign w:val="center"/>
            <w:hideMark/>
          </w:tcPr>
          <w:p w14:paraId="2AC00984" w14:textId="77777777" w:rsidR="00137770" w:rsidRPr="00431A42" w:rsidRDefault="00137770">
            <w:pPr>
              <w:jc w:val="center"/>
              <w:rPr>
                <w:rFonts w:eastAsia="Times New Roman" w:cs="Calibri"/>
                <w:sz w:val="16"/>
                <w:szCs w:val="16"/>
                <w:lang w:eastAsia="es-CL"/>
              </w:rPr>
            </w:pPr>
            <w:r w:rsidRPr="00431A42">
              <w:rPr>
                <w:rFonts w:eastAsia="Times New Roman" w:cs="Calibri"/>
                <w:sz w:val="16"/>
                <w:szCs w:val="16"/>
                <w:lang w:eastAsia="es-CL"/>
              </w:rPr>
              <w:t>Objetivos del fondo</w:t>
            </w:r>
          </w:p>
        </w:tc>
      </w:tr>
      <w:tr w:rsidR="00137770" w:rsidRPr="007F4C24" w14:paraId="7FEC964C" w14:textId="77777777" w:rsidTr="0095196B">
        <w:trPr>
          <w:trHeight w:val="283"/>
        </w:trPr>
        <w:tc>
          <w:tcPr>
            <w:tcW w:w="3032" w:type="pct"/>
            <w:tcBorders>
              <w:top w:val="dotted" w:sz="4" w:space="0" w:color="AE1619"/>
              <w:left w:val="single" w:sz="8" w:space="0" w:color="FFFFFF"/>
              <w:bottom w:val="nil"/>
              <w:right w:val="single" w:sz="8" w:space="0" w:color="FFFFFF"/>
            </w:tcBorders>
            <w:shd w:val="clear" w:color="auto" w:fill="auto"/>
            <w:vAlign w:val="center"/>
            <w:hideMark/>
          </w:tcPr>
          <w:p w14:paraId="58D6F3C4" w14:textId="77777777" w:rsidR="00137770" w:rsidRPr="00431A42" w:rsidRDefault="00137770">
            <w:pPr>
              <w:rPr>
                <w:rFonts w:eastAsia="Times New Roman" w:cs="Calibri"/>
                <w:sz w:val="16"/>
                <w:szCs w:val="16"/>
                <w:lang w:eastAsia="es-CL"/>
              </w:rPr>
            </w:pPr>
            <w:r w:rsidRPr="00431A42">
              <w:rPr>
                <w:rFonts w:eastAsia="Times New Roman" w:cs="Calibri"/>
                <w:sz w:val="16"/>
                <w:szCs w:val="16"/>
                <w:lang w:eastAsia="es-CL"/>
              </w:rPr>
              <w:t>Conflictos de interés</w:t>
            </w:r>
          </w:p>
        </w:tc>
        <w:tc>
          <w:tcPr>
            <w:tcW w:w="1968" w:type="pct"/>
            <w:tcBorders>
              <w:top w:val="dotted" w:sz="4" w:space="0" w:color="AE1619"/>
              <w:left w:val="nil"/>
              <w:bottom w:val="nil"/>
              <w:right w:val="single" w:sz="8" w:space="0" w:color="FFFFFF"/>
            </w:tcBorders>
            <w:shd w:val="clear" w:color="auto" w:fill="auto"/>
            <w:hideMark/>
          </w:tcPr>
          <w:p w14:paraId="49529360" w14:textId="77777777" w:rsidR="00137770" w:rsidRPr="00431A42" w:rsidRDefault="00137770">
            <w:pPr>
              <w:rPr>
                <w:rFonts w:eastAsia="Times New Roman" w:cs="Times New Roman"/>
                <w:sz w:val="16"/>
                <w:szCs w:val="16"/>
                <w:lang w:eastAsia="es-CL"/>
              </w:rPr>
            </w:pPr>
            <w:r w:rsidRPr="00431A42">
              <w:rPr>
                <w:rFonts w:eastAsia="Times New Roman" w:cs="Times New Roman"/>
                <w:sz w:val="16"/>
                <w:szCs w:val="16"/>
                <w:lang w:eastAsia="es-CL"/>
              </w:rPr>
              <w:t> </w:t>
            </w:r>
          </w:p>
        </w:tc>
      </w:tr>
      <w:tr w:rsidR="00137770" w:rsidRPr="007F4C24" w14:paraId="6B2F31BF" w14:textId="77777777" w:rsidTr="0095196B">
        <w:trPr>
          <w:trHeight w:val="283"/>
        </w:trPr>
        <w:tc>
          <w:tcPr>
            <w:tcW w:w="3032" w:type="pct"/>
            <w:tcBorders>
              <w:top w:val="nil"/>
              <w:left w:val="single" w:sz="8" w:space="0" w:color="FFFFFF"/>
              <w:right w:val="single" w:sz="8" w:space="0" w:color="FFFFFF"/>
            </w:tcBorders>
            <w:shd w:val="clear" w:color="auto" w:fill="auto"/>
            <w:vAlign w:val="center"/>
            <w:hideMark/>
          </w:tcPr>
          <w:p w14:paraId="324EEC4E" w14:textId="77777777" w:rsidR="00137770" w:rsidRPr="00431A42" w:rsidRDefault="00137770">
            <w:pPr>
              <w:ind w:firstLineChars="100" w:firstLine="160"/>
              <w:rPr>
                <w:rFonts w:eastAsia="Times New Roman" w:cs="Calibri"/>
                <w:sz w:val="16"/>
                <w:szCs w:val="16"/>
                <w:lang w:eastAsia="es-CL"/>
              </w:rPr>
            </w:pPr>
            <w:r w:rsidRPr="00431A42">
              <w:rPr>
                <w:rFonts w:eastAsia="Times New Roman" w:cs="Calibri"/>
                <w:sz w:val="16"/>
                <w:szCs w:val="16"/>
                <w:lang w:eastAsia="es-CL"/>
              </w:rPr>
              <w:t>-</w:t>
            </w:r>
            <w:r w:rsidRPr="00431A42">
              <w:rPr>
                <w:rFonts w:eastAsia="Times New Roman" w:cs="Times New Roman"/>
                <w:sz w:val="16"/>
                <w:szCs w:val="16"/>
                <w:lang w:eastAsia="es-CL"/>
              </w:rPr>
              <w:t> </w:t>
            </w:r>
            <w:r w:rsidRPr="00431A42">
              <w:rPr>
                <w:rFonts w:eastAsia="Times New Roman" w:cs="Calibri"/>
                <w:sz w:val="16"/>
                <w:szCs w:val="16"/>
                <w:lang w:eastAsia="es-CL"/>
              </w:rPr>
              <w:t>Entre fondos administrados</w:t>
            </w:r>
          </w:p>
        </w:tc>
        <w:tc>
          <w:tcPr>
            <w:tcW w:w="1968" w:type="pct"/>
            <w:tcBorders>
              <w:top w:val="nil"/>
              <w:left w:val="nil"/>
              <w:right w:val="single" w:sz="8" w:space="0" w:color="FFFFFF"/>
            </w:tcBorders>
            <w:shd w:val="clear" w:color="auto" w:fill="auto"/>
            <w:vAlign w:val="center"/>
            <w:hideMark/>
          </w:tcPr>
          <w:p w14:paraId="18CC2835" w14:textId="77777777" w:rsidR="00137770" w:rsidRPr="00431A42" w:rsidRDefault="00137770">
            <w:pPr>
              <w:jc w:val="center"/>
              <w:rPr>
                <w:rFonts w:eastAsia="Times New Roman" w:cs="Calibri"/>
                <w:sz w:val="16"/>
                <w:szCs w:val="16"/>
                <w:lang w:eastAsia="es-CL"/>
              </w:rPr>
            </w:pPr>
            <w:r w:rsidRPr="00431A42">
              <w:rPr>
                <w:rFonts w:eastAsia="Times New Roman" w:cs="Calibri"/>
                <w:sz w:val="16"/>
                <w:szCs w:val="16"/>
                <w:lang w:eastAsia="es-CL"/>
              </w:rPr>
              <w:t>Manejo de conflictos de interés</w:t>
            </w:r>
          </w:p>
        </w:tc>
      </w:tr>
      <w:tr w:rsidR="00137770" w:rsidRPr="007F4C24" w14:paraId="482810B5" w14:textId="77777777" w:rsidTr="0095196B">
        <w:trPr>
          <w:trHeight w:val="283"/>
        </w:trPr>
        <w:tc>
          <w:tcPr>
            <w:tcW w:w="3032" w:type="pct"/>
            <w:tcBorders>
              <w:top w:val="nil"/>
              <w:left w:val="single" w:sz="8" w:space="0" w:color="FFFFFF"/>
              <w:bottom w:val="dotted" w:sz="4" w:space="0" w:color="AE1619"/>
              <w:right w:val="single" w:sz="8" w:space="0" w:color="FFFFFF"/>
            </w:tcBorders>
            <w:shd w:val="clear" w:color="auto" w:fill="auto"/>
            <w:vAlign w:val="center"/>
            <w:hideMark/>
          </w:tcPr>
          <w:p w14:paraId="0C946AF2" w14:textId="77777777" w:rsidR="00137770" w:rsidRPr="00431A42" w:rsidRDefault="00137770">
            <w:pPr>
              <w:ind w:firstLineChars="100" w:firstLine="160"/>
              <w:rPr>
                <w:rFonts w:eastAsia="Times New Roman" w:cs="Calibri"/>
                <w:sz w:val="16"/>
                <w:szCs w:val="16"/>
                <w:lang w:eastAsia="es-CL"/>
              </w:rPr>
            </w:pPr>
            <w:r w:rsidRPr="00431A42">
              <w:rPr>
                <w:rFonts w:eastAsia="Times New Roman" w:cs="Calibri"/>
                <w:sz w:val="16"/>
                <w:szCs w:val="16"/>
                <w:lang w:eastAsia="es-CL"/>
              </w:rPr>
              <w:t>-</w:t>
            </w:r>
            <w:r w:rsidRPr="00431A42">
              <w:rPr>
                <w:rFonts w:eastAsia="Times New Roman" w:cs="Times New Roman"/>
                <w:sz w:val="16"/>
                <w:szCs w:val="16"/>
                <w:lang w:eastAsia="es-CL"/>
              </w:rPr>
              <w:t xml:space="preserve"> </w:t>
            </w:r>
            <w:r w:rsidRPr="00431A42">
              <w:rPr>
                <w:rFonts w:eastAsia="Times New Roman" w:cs="Calibri"/>
                <w:sz w:val="16"/>
                <w:szCs w:val="16"/>
                <w:lang w:eastAsia="es-CL"/>
              </w:rPr>
              <w:t>Con la administradora y sus personas relacionadas</w:t>
            </w:r>
          </w:p>
        </w:tc>
        <w:tc>
          <w:tcPr>
            <w:tcW w:w="1968" w:type="pct"/>
            <w:tcBorders>
              <w:top w:val="nil"/>
              <w:left w:val="nil"/>
              <w:bottom w:val="dotted" w:sz="4" w:space="0" w:color="AE1619"/>
              <w:right w:val="single" w:sz="8" w:space="0" w:color="FFFFFF"/>
            </w:tcBorders>
            <w:shd w:val="clear" w:color="auto" w:fill="auto"/>
            <w:vAlign w:val="center"/>
            <w:hideMark/>
          </w:tcPr>
          <w:p w14:paraId="34D77173" w14:textId="77777777" w:rsidR="00137770" w:rsidRPr="00431A42" w:rsidRDefault="00137770">
            <w:pPr>
              <w:jc w:val="center"/>
              <w:rPr>
                <w:rFonts w:eastAsia="Times New Roman" w:cs="Calibri"/>
                <w:sz w:val="16"/>
                <w:szCs w:val="16"/>
                <w:lang w:eastAsia="es-CL"/>
              </w:rPr>
            </w:pPr>
            <w:r w:rsidRPr="00431A42">
              <w:rPr>
                <w:rFonts w:eastAsia="Times New Roman" w:cs="Calibri"/>
                <w:sz w:val="16"/>
                <w:szCs w:val="16"/>
                <w:lang w:eastAsia="es-CL"/>
              </w:rPr>
              <w:t>Manejo de conflictos de interés</w:t>
            </w:r>
          </w:p>
        </w:tc>
      </w:tr>
      <w:tr w:rsidR="00137770" w:rsidRPr="007F4C24" w14:paraId="75FC7839" w14:textId="77777777" w:rsidTr="0095196B">
        <w:trPr>
          <w:trHeight w:val="283"/>
        </w:trPr>
        <w:tc>
          <w:tcPr>
            <w:tcW w:w="3032" w:type="pct"/>
            <w:tcBorders>
              <w:top w:val="dotted" w:sz="4" w:space="0" w:color="AE1619"/>
              <w:left w:val="single" w:sz="8" w:space="0" w:color="FFFFFF"/>
              <w:bottom w:val="dotted" w:sz="4" w:space="0" w:color="AE1619"/>
              <w:right w:val="single" w:sz="8" w:space="0" w:color="FFFFFF"/>
            </w:tcBorders>
            <w:shd w:val="clear" w:color="auto" w:fill="auto"/>
            <w:vAlign w:val="center"/>
            <w:hideMark/>
          </w:tcPr>
          <w:p w14:paraId="4415D7FB" w14:textId="77777777" w:rsidR="00137770" w:rsidRPr="00FD726D" w:rsidRDefault="00137770">
            <w:pPr>
              <w:rPr>
                <w:rFonts w:eastAsia="Times New Roman" w:cs="Calibri"/>
                <w:sz w:val="16"/>
                <w:szCs w:val="16"/>
                <w:lang w:eastAsia="es-CL"/>
              </w:rPr>
            </w:pPr>
            <w:r w:rsidRPr="00FD726D">
              <w:rPr>
                <w:rFonts w:eastAsia="Times New Roman" w:cs="Calibri"/>
                <w:sz w:val="16"/>
                <w:szCs w:val="16"/>
                <w:lang w:eastAsia="es-CL"/>
              </w:rPr>
              <w:t>Idoneidad y experiencia de la administración y la administradora.</w:t>
            </w:r>
          </w:p>
        </w:tc>
        <w:tc>
          <w:tcPr>
            <w:tcW w:w="1968" w:type="pct"/>
            <w:tcBorders>
              <w:top w:val="dotted" w:sz="4" w:space="0" w:color="AE1619"/>
              <w:left w:val="nil"/>
              <w:bottom w:val="dotted" w:sz="4" w:space="0" w:color="AE1619"/>
              <w:right w:val="single" w:sz="8" w:space="0" w:color="FFFFFF"/>
            </w:tcBorders>
            <w:shd w:val="clear" w:color="auto" w:fill="auto"/>
            <w:vAlign w:val="center"/>
            <w:hideMark/>
          </w:tcPr>
          <w:p w14:paraId="150B8510" w14:textId="77777777" w:rsidR="00137770" w:rsidRPr="00FD726D" w:rsidRDefault="00137770">
            <w:pPr>
              <w:jc w:val="center"/>
              <w:rPr>
                <w:rFonts w:eastAsia="Times New Roman" w:cs="Calibri"/>
                <w:sz w:val="16"/>
                <w:szCs w:val="16"/>
                <w:lang w:eastAsia="es-CL"/>
              </w:rPr>
            </w:pPr>
            <w:r w:rsidRPr="00FD726D">
              <w:rPr>
                <w:rFonts w:eastAsia="Times New Roman" w:cs="Calibri"/>
                <w:sz w:val="16"/>
                <w:szCs w:val="16"/>
                <w:lang w:eastAsia="es-CL"/>
              </w:rPr>
              <w:t>Fundamento de la clasificación</w:t>
            </w:r>
          </w:p>
        </w:tc>
      </w:tr>
      <w:tr w:rsidR="00137770" w:rsidRPr="007F4C24" w14:paraId="4F9564D6" w14:textId="77777777" w:rsidTr="0095196B">
        <w:trPr>
          <w:trHeight w:val="283"/>
        </w:trPr>
        <w:tc>
          <w:tcPr>
            <w:tcW w:w="3032" w:type="pct"/>
            <w:tcBorders>
              <w:top w:val="dotted" w:sz="4" w:space="0" w:color="AE1619"/>
              <w:left w:val="single" w:sz="8" w:space="0" w:color="FFFFFF"/>
              <w:bottom w:val="dotted" w:sz="4" w:space="0" w:color="AE1619"/>
              <w:right w:val="single" w:sz="8" w:space="0" w:color="FFFFFF"/>
            </w:tcBorders>
            <w:shd w:val="clear" w:color="auto" w:fill="auto"/>
            <w:vAlign w:val="center"/>
            <w:hideMark/>
          </w:tcPr>
          <w:p w14:paraId="719D127F" w14:textId="77777777" w:rsidR="00137770" w:rsidRPr="00FD726D" w:rsidRDefault="00137770">
            <w:pPr>
              <w:rPr>
                <w:rFonts w:eastAsia="Times New Roman" w:cs="Calibri"/>
                <w:sz w:val="16"/>
                <w:szCs w:val="16"/>
                <w:lang w:eastAsia="es-CL"/>
              </w:rPr>
            </w:pPr>
            <w:r w:rsidRPr="00FD726D">
              <w:rPr>
                <w:rFonts w:eastAsia="Times New Roman" w:cs="Calibri"/>
                <w:sz w:val="16"/>
                <w:szCs w:val="16"/>
                <w:lang w:eastAsia="es-CL"/>
              </w:rPr>
              <w:t>Estructura, políticas y procesos del gobierno corporativo para resguardar apropiadamente los intereses del fondo y de sus partícipes.</w:t>
            </w:r>
          </w:p>
        </w:tc>
        <w:tc>
          <w:tcPr>
            <w:tcW w:w="1968" w:type="pct"/>
            <w:tcBorders>
              <w:top w:val="dotted" w:sz="4" w:space="0" w:color="AE1619"/>
              <w:left w:val="nil"/>
              <w:bottom w:val="dotted" w:sz="4" w:space="0" w:color="AE1619"/>
              <w:right w:val="single" w:sz="8" w:space="0" w:color="FFFFFF"/>
            </w:tcBorders>
            <w:shd w:val="clear" w:color="auto" w:fill="auto"/>
            <w:vAlign w:val="center"/>
            <w:hideMark/>
          </w:tcPr>
          <w:p w14:paraId="31DB92A4" w14:textId="77777777" w:rsidR="00137770" w:rsidRPr="00FD726D" w:rsidRDefault="00137770">
            <w:pPr>
              <w:jc w:val="center"/>
              <w:rPr>
                <w:rFonts w:eastAsia="Times New Roman" w:cs="Calibri"/>
                <w:sz w:val="16"/>
                <w:szCs w:val="16"/>
                <w:lang w:eastAsia="es-CL"/>
              </w:rPr>
            </w:pPr>
            <w:r w:rsidRPr="00FD726D">
              <w:rPr>
                <w:rFonts w:eastAsia="Times New Roman" w:cs="Calibri"/>
                <w:sz w:val="16"/>
                <w:szCs w:val="16"/>
                <w:lang w:eastAsia="es-CL"/>
              </w:rPr>
              <w:t>De la Administración del fondo</w:t>
            </w:r>
          </w:p>
        </w:tc>
      </w:tr>
      <w:tr w:rsidR="00137770" w:rsidRPr="007F4C24" w14:paraId="68A77667" w14:textId="77777777" w:rsidTr="0095196B">
        <w:trPr>
          <w:trHeight w:val="283"/>
        </w:trPr>
        <w:tc>
          <w:tcPr>
            <w:tcW w:w="3032" w:type="pct"/>
            <w:tcBorders>
              <w:top w:val="dotted" w:sz="4" w:space="0" w:color="AE1619"/>
              <w:left w:val="single" w:sz="8" w:space="0" w:color="FFFFFF"/>
              <w:bottom w:val="dotted" w:sz="4" w:space="0" w:color="AE1619"/>
              <w:right w:val="single" w:sz="8" w:space="0" w:color="FFFFFF"/>
            </w:tcBorders>
            <w:shd w:val="clear" w:color="auto" w:fill="auto"/>
            <w:vAlign w:val="center"/>
            <w:hideMark/>
          </w:tcPr>
          <w:p w14:paraId="314A359E" w14:textId="77777777" w:rsidR="00137770" w:rsidRPr="00FD726D" w:rsidRDefault="00137770">
            <w:pPr>
              <w:rPr>
                <w:rFonts w:eastAsia="Times New Roman" w:cs="Calibri"/>
                <w:sz w:val="16"/>
                <w:szCs w:val="16"/>
                <w:lang w:eastAsia="es-CL"/>
              </w:rPr>
            </w:pPr>
            <w:r w:rsidRPr="00FD726D">
              <w:rPr>
                <w:rFonts w:eastAsia="Times New Roman" w:cs="Calibri"/>
                <w:sz w:val="16"/>
                <w:szCs w:val="16"/>
                <w:lang w:eastAsia="es-CL"/>
              </w:rPr>
              <w:t>Separación funcional e independencia en la realización de tareas, establecida por la administradora con el fin de gestionar los riesgos, vigilar y salvaguardar las inversiones del fondo, y prevenir, manejar y resolver potenciales conflictos de interés.</w:t>
            </w:r>
          </w:p>
        </w:tc>
        <w:tc>
          <w:tcPr>
            <w:tcW w:w="1968" w:type="pct"/>
            <w:tcBorders>
              <w:top w:val="dotted" w:sz="4" w:space="0" w:color="AE1619"/>
              <w:left w:val="nil"/>
              <w:bottom w:val="dotted" w:sz="4" w:space="0" w:color="AE1619"/>
              <w:right w:val="single" w:sz="8" w:space="0" w:color="FFFFFF"/>
            </w:tcBorders>
            <w:shd w:val="clear" w:color="auto" w:fill="auto"/>
            <w:vAlign w:val="center"/>
            <w:hideMark/>
          </w:tcPr>
          <w:p w14:paraId="06F7BA01" w14:textId="77777777" w:rsidR="00137770" w:rsidRPr="00FD726D" w:rsidRDefault="00137770">
            <w:pPr>
              <w:jc w:val="center"/>
              <w:rPr>
                <w:rFonts w:eastAsia="Times New Roman" w:cs="Calibri"/>
                <w:sz w:val="16"/>
                <w:szCs w:val="16"/>
                <w:lang w:eastAsia="es-CL"/>
              </w:rPr>
            </w:pPr>
            <w:r w:rsidRPr="00FD726D">
              <w:rPr>
                <w:rFonts w:eastAsia="Times New Roman" w:cs="Calibri"/>
                <w:sz w:val="16"/>
                <w:szCs w:val="16"/>
                <w:lang w:eastAsia="es-CL"/>
              </w:rPr>
              <w:t>De la Administración del fondo</w:t>
            </w:r>
          </w:p>
        </w:tc>
      </w:tr>
      <w:tr w:rsidR="00137770" w:rsidRPr="007F4C24" w14:paraId="74EF7B89" w14:textId="77777777" w:rsidTr="0095196B">
        <w:trPr>
          <w:trHeight w:val="283"/>
        </w:trPr>
        <w:tc>
          <w:tcPr>
            <w:tcW w:w="3032" w:type="pct"/>
            <w:tcBorders>
              <w:top w:val="dotted" w:sz="4" w:space="0" w:color="AE1619"/>
              <w:left w:val="single" w:sz="8" w:space="0" w:color="FFFFFF"/>
              <w:bottom w:val="dotted" w:sz="4" w:space="0" w:color="AE1619"/>
              <w:right w:val="single" w:sz="8" w:space="0" w:color="FFFFFF"/>
            </w:tcBorders>
            <w:shd w:val="clear" w:color="auto" w:fill="auto"/>
            <w:vAlign w:val="center"/>
            <w:hideMark/>
          </w:tcPr>
          <w:p w14:paraId="7B76368A" w14:textId="77777777" w:rsidR="00137770" w:rsidRPr="00FD726D" w:rsidRDefault="00137770">
            <w:pPr>
              <w:rPr>
                <w:rFonts w:eastAsia="Times New Roman" w:cs="Calibri"/>
                <w:sz w:val="16"/>
                <w:szCs w:val="16"/>
                <w:lang w:eastAsia="es-CL"/>
              </w:rPr>
            </w:pPr>
            <w:r w:rsidRPr="00FD726D">
              <w:rPr>
                <w:rFonts w:eastAsia="Times New Roman" w:cs="Calibri"/>
                <w:sz w:val="16"/>
                <w:szCs w:val="16"/>
                <w:lang w:eastAsia="es-CL"/>
              </w:rPr>
              <w:t>Suficiencia e idoneidad de la estructura de gestión de riesgos y control interno de la administradora, de la implementación formal de políticas y procedimientos al respecto, y de la realización de estas funciones.</w:t>
            </w:r>
          </w:p>
        </w:tc>
        <w:tc>
          <w:tcPr>
            <w:tcW w:w="1968" w:type="pct"/>
            <w:tcBorders>
              <w:top w:val="dotted" w:sz="4" w:space="0" w:color="AE1619"/>
              <w:left w:val="nil"/>
              <w:bottom w:val="dotted" w:sz="4" w:space="0" w:color="AE1619"/>
              <w:right w:val="single" w:sz="8" w:space="0" w:color="FFFFFF"/>
            </w:tcBorders>
            <w:shd w:val="clear" w:color="auto" w:fill="auto"/>
            <w:vAlign w:val="center"/>
            <w:hideMark/>
          </w:tcPr>
          <w:p w14:paraId="01174645" w14:textId="77777777" w:rsidR="00137770" w:rsidRPr="00FD726D" w:rsidRDefault="00137770">
            <w:pPr>
              <w:jc w:val="center"/>
              <w:rPr>
                <w:rFonts w:eastAsia="Times New Roman" w:cs="Calibri"/>
                <w:sz w:val="16"/>
                <w:szCs w:val="16"/>
                <w:lang w:eastAsia="es-CL"/>
              </w:rPr>
            </w:pPr>
            <w:r w:rsidRPr="00FD726D">
              <w:rPr>
                <w:rFonts w:eastAsia="Times New Roman" w:cs="Calibri"/>
                <w:sz w:val="16"/>
                <w:szCs w:val="16"/>
                <w:lang w:eastAsia="es-CL"/>
              </w:rPr>
              <w:t>De la Administración del fondo</w:t>
            </w:r>
          </w:p>
        </w:tc>
      </w:tr>
      <w:tr w:rsidR="00137770" w:rsidRPr="007F4C24" w14:paraId="193F6283" w14:textId="77777777" w:rsidTr="0095196B">
        <w:trPr>
          <w:trHeight w:val="283"/>
        </w:trPr>
        <w:tc>
          <w:tcPr>
            <w:tcW w:w="3032" w:type="pct"/>
            <w:tcBorders>
              <w:top w:val="dotted" w:sz="4" w:space="0" w:color="AE1619"/>
              <w:left w:val="single" w:sz="8" w:space="0" w:color="FFFFFF"/>
              <w:bottom w:val="dotted" w:sz="4" w:space="0" w:color="AE1619"/>
              <w:right w:val="single" w:sz="8" w:space="0" w:color="FFFFFF"/>
            </w:tcBorders>
            <w:shd w:val="clear" w:color="auto" w:fill="auto"/>
            <w:vAlign w:val="center"/>
            <w:hideMark/>
          </w:tcPr>
          <w:p w14:paraId="22633900" w14:textId="77777777" w:rsidR="00137770" w:rsidRPr="00FD726D" w:rsidRDefault="00137770">
            <w:pPr>
              <w:rPr>
                <w:rFonts w:eastAsia="Times New Roman" w:cs="Calibri"/>
                <w:sz w:val="16"/>
                <w:szCs w:val="16"/>
                <w:lang w:eastAsia="es-CL"/>
              </w:rPr>
            </w:pPr>
            <w:r w:rsidRPr="00FD726D">
              <w:rPr>
                <w:rFonts w:eastAsia="Times New Roman" w:cs="Calibri"/>
                <w:sz w:val="16"/>
                <w:szCs w:val="16"/>
                <w:lang w:eastAsia="es-CL"/>
              </w:rPr>
              <w:t>Fortaleza y suficiencia de su plataforma de operaciones en relación al tamaño y la complejidad de los activos administrados.</w:t>
            </w:r>
          </w:p>
        </w:tc>
        <w:tc>
          <w:tcPr>
            <w:tcW w:w="1968" w:type="pct"/>
            <w:tcBorders>
              <w:top w:val="dotted" w:sz="4" w:space="0" w:color="AE1619"/>
              <w:left w:val="nil"/>
              <w:bottom w:val="dotted" w:sz="4" w:space="0" w:color="AE1619"/>
              <w:right w:val="single" w:sz="8" w:space="0" w:color="FFFFFF"/>
            </w:tcBorders>
            <w:shd w:val="clear" w:color="auto" w:fill="auto"/>
            <w:vAlign w:val="center"/>
            <w:hideMark/>
          </w:tcPr>
          <w:p w14:paraId="538E682D" w14:textId="77777777" w:rsidR="00137770" w:rsidRPr="00FD726D" w:rsidRDefault="00137770">
            <w:pPr>
              <w:jc w:val="center"/>
              <w:rPr>
                <w:rFonts w:eastAsia="Times New Roman" w:cs="Calibri"/>
                <w:sz w:val="16"/>
                <w:szCs w:val="16"/>
                <w:lang w:eastAsia="es-CL"/>
              </w:rPr>
            </w:pPr>
            <w:r w:rsidRPr="00FD726D">
              <w:rPr>
                <w:rFonts w:eastAsia="Times New Roman" w:cs="Calibri"/>
                <w:sz w:val="16"/>
                <w:szCs w:val="16"/>
                <w:lang w:eastAsia="es-CL"/>
              </w:rPr>
              <w:t>De la Administración del fondo</w:t>
            </w:r>
          </w:p>
        </w:tc>
      </w:tr>
      <w:tr w:rsidR="00137770" w:rsidRPr="007F4C24" w14:paraId="455D52D3" w14:textId="77777777" w:rsidTr="0095196B">
        <w:trPr>
          <w:trHeight w:val="283"/>
        </w:trPr>
        <w:tc>
          <w:tcPr>
            <w:tcW w:w="3032" w:type="pct"/>
            <w:tcBorders>
              <w:top w:val="dotted" w:sz="4" w:space="0" w:color="AE1619"/>
              <w:left w:val="single" w:sz="8" w:space="0" w:color="FFFFFF"/>
              <w:bottom w:val="nil"/>
              <w:right w:val="single" w:sz="8" w:space="0" w:color="FFFFFF"/>
            </w:tcBorders>
            <w:shd w:val="clear" w:color="auto" w:fill="auto"/>
            <w:vAlign w:val="center"/>
            <w:hideMark/>
          </w:tcPr>
          <w:p w14:paraId="2FB2FF1A" w14:textId="77777777" w:rsidR="00137770" w:rsidRPr="00346900" w:rsidRDefault="00137770">
            <w:pPr>
              <w:rPr>
                <w:rFonts w:eastAsia="Times New Roman" w:cs="Calibri"/>
                <w:sz w:val="16"/>
                <w:szCs w:val="16"/>
                <w:lang w:eastAsia="es-CL"/>
              </w:rPr>
            </w:pPr>
            <w:r w:rsidRPr="00346900">
              <w:rPr>
                <w:rFonts w:eastAsia="Times New Roman" w:cs="Calibri"/>
                <w:sz w:val="16"/>
                <w:szCs w:val="16"/>
                <w:lang w:eastAsia="es-CL"/>
              </w:rPr>
              <w:t xml:space="preserve">Política de inversión (Artículo </w:t>
            </w:r>
            <w:proofErr w:type="spellStart"/>
            <w:r w:rsidRPr="00346900">
              <w:rPr>
                <w:rFonts w:eastAsia="Times New Roman" w:cs="Calibri"/>
                <w:sz w:val="16"/>
                <w:szCs w:val="16"/>
                <w:lang w:eastAsia="es-CL"/>
              </w:rPr>
              <w:t>N°</w:t>
            </w:r>
            <w:proofErr w:type="spellEnd"/>
            <w:r w:rsidRPr="00346900">
              <w:rPr>
                <w:rFonts w:eastAsia="Times New Roman" w:cs="Calibri"/>
                <w:sz w:val="16"/>
                <w:szCs w:val="16"/>
                <w:lang w:eastAsia="es-CL"/>
              </w:rPr>
              <w:t xml:space="preserve"> 3) </w:t>
            </w:r>
          </w:p>
        </w:tc>
        <w:tc>
          <w:tcPr>
            <w:tcW w:w="1968" w:type="pct"/>
            <w:vMerge w:val="restart"/>
            <w:tcBorders>
              <w:top w:val="dotted" w:sz="4" w:space="0" w:color="AE1619"/>
              <w:left w:val="single" w:sz="8" w:space="0" w:color="FFFFFF"/>
              <w:bottom w:val="single" w:sz="8" w:space="0" w:color="FFFFFF"/>
              <w:right w:val="single" w:sz="8" w:space="0" w:color="FFFFFF"/>
            </w:tcBorders>
            <w:shd w:val="clear" w:color="auto" w:fill="auto"/>
            <w:vAlign w:val="center"/>
            <w:hideMark/>
          </w:tcPr>
          <w:p w14:paraId="00F1552D" w14:textId="76CDA21C" w:rsidR="00137770" w:rsidRPr="00FD726D" w:rsidRDefault="00137770">
            <w:pPr>
              <w:jc w:val="center"/>
              <w:rPr>
                <w:rFonts w:eastAsia="Times New Roman" w:cs="Calibri"/>
                <w:sz w:val="16"/>
                <w:szCs w:val="16"/>
                <w:lang w:eastAsia="es-CL"/>
              </w:rPr>
            </w:pPr>
            <w:r w:rsidRPr="00FD726D">
              <w:rPr>
                <w:rFonts w:eastAsia="Times New Roman" w:cs="Calibri"/>
                <w:sz w:val="16"/>
                <w:szCs w:val="16"/>
                <w:lang w:eastAsia="es-CL"/>
              </w:rPr>
              <w:t xml:space="preserve">Objetivos del fondo establecidos de forma clara. Reglamento establece una inversión mínima de </w:t>
            </w:r>
            <w:r w:rsidR="00646F2C">
              <w:rPr>
                <w:rFonts w:eastAsia="Times New Roman" w:cs="Calibri"/>
                <w:sz w:val="16"/>
                <w:szCs w:val="16"/>
                <w:lang w:eastAsia="es-CL"/>
              </w:rPr>
              <w:t>9</w:t>
            </w:r>
            <w:r w:rsidRPr="00FD726D">
              <w:rPr>
                <w:rFonts w:eastAsia="Times New Roman" w:cs="Calibri"/>
                <w:sz w:val="16"/>
                <w:szCs w:val="16"/>
                <w:lang w:eastAsia="es-CL"/>
              </w:rPr>
              <w:t>0% de sus activos dentro de su objetivo.</w:t>
            </w:r>
          </w:p>
        </w:tc>
      </w:tr>
      <w:tr w:rsidR="00137770" w:rsidRPr="007F4C24" w14:paraId="43557DEF" w14:textId="77777777" w:rsidTr="0095196B">
        <w:trPr>
          <w:trHeight w:val="283"/>
        </w:trPr>
        <w:tc>
          <w:tcPr>
            <w:tcW w:w="3032" w:type="pct"/>
            <w:tcBorders>
              <w:top w:val="nil"/>
              <w:left w:val="single" w:sz="8" w:space="0" w:color="FFFFFF"/>
              <w:bottom w:val="dotted" w:sz="4" w:space="0" w:color="AE1619"/>
              <w:right w:val="single" w:sz="8" w:space="0" w:color="FFFFFF"/>
            </w:tcBorders>
            <w:shd w:val="clear" w:color="auto" w:fill="auto"/>
            <w:hideMark/>
          </w:tcPr>
          <w:p w14:paraId="283F3A54" w14:textId="77777777" w:rsidR="00137770" w:rsidRPr="00346900" w:rsidRDefault="00137770">
            <w:pPr>
              <w:ind w:firstLineChars="100" w:firstLine="160"/>
              <w:rPr>
                <w:rFonts w:eastAsia="Times New Roman" w:cs="Calibri"/>
                <w:sz w:val="16"/>
                <w:szCs w:val="16"/>
                <w:lang w:eastAsia="es-CL"/>
              </w:rPr>
            </w:pPr>
            <w:r w:rsidRPr="00346900">
              <w:rPr>
                <w:rFonts w:eastAsia="Times New Roman" w:cs="Calibri"/>
                <w:sz w:val="16"/>
                <w:szCs w:val="16"/>
                <w:lang w:eastAsia="es-CL"/>
              </w:rPr>
              <w:t>El reglamento deberá establecer en forma clara y precisa los objetivos del fondo. Como política de inversión el reglamento debe contemplar que al menos el 70% de sus activos estará invertido, sea directa o indirectamente, en instrumentos que son objeto de inversión.</w:t>
            </w:r>
          </w:p>
        </w:tc>
        <w:tc>
          <w:tcPr>
            <w:tcW w:w="1968" w:type="pct"/>
            <w:vMerge/>
            <w:tcBorders>
              <w:top w:val="nil"/>
              <w:left w:val="single" w:sz="8" w:space="0" w:color="FFFFFF"/>
              <w:bottom w:val="dotted" w:sz="4" w:space="0" w:color="AE1619"/>
              <w:right w:val="single" w:sz="8" w:space="0" w:color="FFFFFF"/>
            </w:tcBorders>
            <w:shd w:val="clear" w:color="auto" w:fill="auto"/>
            <w:vAlign w:val="center"/>
            <w:hideMark/>
          </w:tcPr>
          <w:p w14:paraId="1CAD6702" w14:textId="77777777" w:rsidR="00137770" w:rsidRPr="007F4C24" w:rsidRDefault="00137770">
            <w:pPr>
              <w:rPr>
                <w:rFonts w:eastAsia="Times New Roman" w:cs="Calibri"/>
                <w:sz w:val="16"/>
                <w:szCs w:val="16"/>
                <w:highlight w:val="yellow"/>
                <w:lang w:eastAsia="es-CL"/>
              </w:rPr>
            </w:pPr>
          </w:p>
        </w:tc>
      </w:tr>
      <w:tr w:rsidR="00137770" w:rsidRPr="007F4C24" w14:paraId="66FB464E" w14:textId="77777777" w:rsidTr="0095196B">
        <w:trPr>
          <w:trHeight w:val="283"/>
        </w:trPr>
        <w:tc>
          <w:tcPr>
            <w:tcW w:w="3032" w:type="pct"/>
            <w:tcBorders>
              <w:top w:val="dotted" w:sz="4" w:space="0" w:color="AE1619"/>
              <w:left w:val="single" w:sz="8" w:space="0" w:color="FFFFFF"/>
              <w:bottom w:val="nil"/>
              <w:right w:val="single" w:sz="8" w:space="0" w:color="FFFFFF"/>
            </w:tcBorders>
            <w:shd w:val="clear" w:color="auto" w:fill="auto"/>
            <w:vAlign w:val="center"/>
            <w:hideMark/>
          </w:tcPr>
          <w:p w14:paraId="41CD1B3B" w14:textId="77777777" w:rsidR="00137770" w:rsidRPr="00BE2A08" w:rsidRDefault="00137770">
            <w:pPr>
              <w:rPr>
                <w:rFonts w:eastAsia="Times New Roman" w:cs="Calibri"/>
                <w:sz w:val="16"/>
                <w:szCs w:val="16"/>
                <w:lang w:eastAsia="es-CL"/>
              </w:rPr>
            </w:pPr>
            <w:r w:rsidRPr="00BE2A08">
              <w:rPr>
                <w:rFonts w:eastAsia="Times New Roman" w:cs="Calibri"/>
                <w:sz w:val="16"/>
                <w:szCs w:val="16"/>
                <w:lang w:eastAsia="es-CL"/>
              </w:rPr>
              <w:t xml:space="preserve">Endeudamiento (Artículo </w:t>
            </w:r>
            <w:proofErr w:type="spellStart"/>
            <w:r w:rsidRPr="00BE2A08">
              <w:rPr>
                <w:rFonts w:eastAsia="Times New Roman" w:cs="Calibri"/>
                <w:sz w:val="16"/>
                <w:szCs w:val="16"/>
                <w:lang w:eastAsia="es-CL"/>
              </w:rPr>
              <w:t>N°</w:t>
            </w:r>
            <w:proofErr w:type="spellEnd"/>
            <w:r w:rsidRPr="00BE2A08">
              <w:rPr>
                <w:rFonts w:eastAsia="Times New Roman" w:cs="Calibri"/>
                <w:sz w:val="16"/>
                <w:szCs w:val="16"/>
                <w:lang w:eastAsia="es-CL"/>
              </w:rPr>
              <w:t xml:space="preserve"> 4)</w:t>
            </w:r>
          </w:p>
        </w:tc>
        <w:tc>
          <w:tcPr>
            <w:tcW w:w="1968" w:type="pct"/>
            <w:vMerge w:val="restart"/>
            <w:tcBorders>
              <w:top w:val="dotted" w:sz="4" w:space="0" w:color="AE1619"/>
              <w:left w:val="single" w:sz="8" w:space="0" w:color="FFFFFF"/>
              <w:bottom w:val="single" w:sz="8" w:space="0" w:color="FFFFFF"/>
              <w:right w:val="single" w:sz="8" w:space="0" w:color="FFFFFF"/>
            </w:tcBorders>
            <w:shd w:val="clear" w:color="auto" w:fill="auto"/>
            <w:vAlign w:val="center"/>
            <w:hideMark/>
          </w:tcPr>
          <w:p w14:paraId="749A855D" w14:textId="77777777" w:rsidR="00137770" w:rsidRPr="00BE2A08" w:rsidRDefault="00137770">
            <w:pPr>
              <w:jc w:val="center"/>
              <w:rPr>
                <w:rFonts w:eastAsia="Times New Roman" w:cs="Calibri"/>
                <w:sz w:val="16"/>
                <w:szCs w:val="16"/>
                <w:lang w:eastAsia="es-CL"/>
              </w:rPr>
            </w:pPr>
            <w:r w:rsidRPr="00BE2A08">
              <w:rPr>
                <w:rFonts w:eastAsia="Times New Roman" w:cs="Calibri"/>
                <w:sz w:val="16"/>
                <w:szCs w:val="16"/>
                <w:lang w:eastAsia="es-CL"/>
              </w:rPr>
              <w:t>Se podrá tomar deuda con vencimiento no mayor a 365 días hasta 20% de su patrimonio.</w:t>
            </w:r>
          </w:p>
        </w:tc>
      </w:tr>
      <w:tr w:rsidR="00137770" w:rsidRPr="007F4C24" w14:paraId="57193AB8" w14:textId="77777777" w:rsidTr="0095196B">
        <w:trPr>
          <w:trHeight w:val="283"/>
        </w:trPr>
        <w:tc>
          <w:tcPr>
            <w:tcW w:w="3032" w:type="pct"/>
            <w:tcBorders>
              <w:top w:val="nil"/>
              <w:left w:val="single" w:sz="8" w:space="0" w:color="FFFFFF"/>
              <w:bottom w:val="dotted" w:sz="4" w:space="0" w:color="AE1619"/>
              <w:right w:val="single" w:sz="8" w:space="0" w:color="FFFFFF"/>
            </w:tcBorders>
            <w:shd w:val="clear" w:color="auto" w:fill="auto"/>
            <w:hideMark/>
          </w:tcPr>
          <w:p w14:paraId="50C5128D" w14:textId="77777777" w:rsidR="00137770" w:rsidRPr="00BE2A08" w:rsidRDefault="00137770">
            <w:pPr>
              <w:ind w:firstLineChars="100" w:firstLine="160"/>
              <w:rPr>
                <w:rFonts w:eastAsia="Times New Roman" w:cs="Calibri"/>
                <w:sz w:val="16"/>
                <w:szCs w:val="16"/>
                <w:lang w:eastAsia="es-CL"/>
              </w:rPr>
            </w:pPr>
            <w:r w:rsidRPr="00BE2A08">
              <w:rPr>
                <w:rFonts w:eastAsia="Times New Roman" w:cs="Calibri"/>
                <w:sz w:val="16"/>
                <w:szCs w:val="16"/>
                <w:lang w:eastAsia="es-CL"/>
              </w:rPr>
              <w:t>El reglamento debe establecer que los pasivos más los gravámenes y prohibiciones que mantenga el fondo, no podrán exceder del 50% de su patrimonio.</w:t>
            </w:r>
          </w:p>
        </w:tc>
        <w:tc>
          <w:tcPr>
            <w:tcW w:w="1968" w:type="pct"/>
            <w:vMerge/>
            <w:tcBorders>
              <w:top w:val="nil"/>
              <w:left w:val="single" w:sz="8" w:space="0" w:color="FFFFFF"/>
              <w:bottom w:val="dotted" w:sz="4" w:space="0" w:color="AE1619"/>
              <w:right w:val="single" w:sz="8" w:space="0" w:color="FFFFFF"/>
            </w:tcBorders>
            <w:shd w:val="clear" w:color="auto" w:fill="auto"/>
            <w:vAlign w:val="center"/>
            <w:hideMark/>
          </w:tcPr>
          <w:p w14:paraId="33657A7F" w14:textId="77777777" w:rsidR="00137770" w:rsidRPr="00BE2A08" w:rsidRDefault="00137770">
            <w:pPr>
              <w:rPr>
                <w:rFonts w:eastAsia="Times New Roman" w:cs="Calibri"/>
                <w:sz w:val="16"/>
                <w:szCs w:val="16"/>
                <w:lang w:eastAsia="es-CL"/>
              </w:rPr>
            </w:pPr>
          </w:p>
        </w:tc>
      </w:tr>
      <w:tr w:rsidR="00137770" w:rsidRPr="007F4C24" w14:paraId="7228C1CE" w14:textId="77777777" w:rsidTr="0095196B">
        <w:trPr>
          <w:trHeight w:val="283"/>
        </w:trPr>
        <w:tc>
          <w:tcPr>
            <w:tcW w:w="3032" w:type="pct"/>
            <w:tcBorders>
              <w:top w:val="dotted" w:sz="4" w:space="0" w:color="AE1619"/>
              <w:left w:val="single" w:sz="8" w:space="0" w:color="FFFFFF"/>
              <w:bottom w:val="nil"/>
              <w:right w:val="single" w:sz="8" w:space="0" w:color="FFFFFF"/>
            </w:tcBorders>
            <w:shd w:val="clear" w:color="auto" w:fill="auto"/>
            <w:vAlign w:val="center"/>
            <w:hideMark/>
          </w:tcPr>
          <w:p w14:paraId="7DEE83D9" w14:textId="77777777" w:rsidR="00137770" w:rsidRPr="0080470F" w:rsidRDefault="00137770">
            <w:pPr>
              <w:rPr>
                <w:rFonts w:eastAsia="Times New Roman" w:cs="Calibri"/>
                <w:sz w:val="16"/>
                <w:szCs w:val="16"/>
                <w:lang w:eastAsia="es-CL"/>
              </w:rPr>
            </w:pPr>
            <w:r w:rsidRPr="0080470F">
              <w:rPr>
                <w:rFonts w:eastAsia="Times New Roman" w:cs="Calibri"/>
                <w:sz w:val="16"/>
                <w:szCs w:val="16"/>
                <w:lang w:eastAsia="es-CL"/>
              </w:rPr>
              <w:t xml:space="preserve">Concentración por emisor y grupo empresarial (Artículo </w:t>
            </w:r>
            <w:proofErr w:type="spellStart"/>
            <w:r w:rsidRPr="0080470F">
              <w:rPr>
                <w:rFonts w:eastAsia="Times New Roman" w:cs="Calibri"/>
                <w:sz w:val="16"/>
                <w:szCs w:val="16"/>
                <w:lang w:eastAsia="es-CL"/>
              </w:rPr>
              <w:t>N°</w:t>
            </w:r>
            <w:proofErr w:type="spellEnd"/>
            <w:r w:rsidRPr="0080470F">
              <w:rPr>
                <w:rFonts w:eastAsia="Times New Roman" w:cs="Calibri"/>
                <w:sz w:val="16"/>
                <w:szCs w:val="16"/>
                <w:lang w:eastAsia="es-CL"/>
              </w:rPr>
              <w:t xml:space="preserve"> 5)</w:t>
            </w:r>
          </w:p>
        </w:tc>
        <w:tc>
          <w:tcPr>
            <w:tcW w:w="1968" w:type="pct"/>
            <w:vMerge w:val="restart"/>
            <w:tcBorders>
              <w:top w:val="dotted" w:sz="4" w:space="0" w:color="AE1619"/>
              <w:left w:val="single" w:sz="8" w:space="0" w:color="FFFFFF"/>
              <w:bottom w:val="single" w:sz="8" w:space="0" w:color="FFFFFF"/>
              <w:right w:val="single" w:sz="8" w:space="0" w:color="FFFFFF"/>
            </w:tcBorders>
            <w:shd w:val="clear" w:color="auto" w:fill="auto"/>
            <w:vAlign w:val="center"/>
            <w:hideMark/>
          </w:tcPr>
          <w:p w14:paraId="42452853" w14:textId="61AA85AD" w:rsidR="00137770" w:rsidRPr="0080470F" w:rsidRDefault="00137770">
            <w:pPr>
              <w:jc w:val="center"/>
              <w:rPr>
                <w:rFonts w:eastAsia="Times New Roman" w:cs="Calibri"/>
                <w:sz w:val="16"/>
                <w:szCs w:val="16"/>
                <w:lang w:eastAsia="es-CL"/>
              </w:rPr>
            </w:pPr>
            <w:r w:rsidRPr="0080470F">
              <w:rPr>
                <w:rFonts w:eastAsia="Times New Roman" w:cs="Calibri"/>
                <w:sz w:val="16"/>
                <w:szCs w:val="16"/>
                <w:lang w:eastAsia="es-CL"/>
              </w:rPr>
              <w:t>Reglamento establece un límite máximo de inversión por una misma entidad y un mismo grupo empresarial y sus personas relacionadas de un 2</w:t>
            </w:r>
            <w:r w:rsidR="009E61AF">
              <w:rPr>
                <w:rFonts w:eastAsia="Times New Roman" w:cs="Calibri"/>
                <w:sz w:val="16"/>
                <w:szCs w:val="16"/>
                <w:lang w:eastAsia="es-CL"/>
              </w:rPr>
              <w:t>5</w:t>
            </w:r>
            <w:r w:rsidRPr="0080470F">
              <w:rPr>
                <w:rFonts w:eastAsia="Times New Roman" w:cs="Calibri"/>
                <w:sz w:val="16"/>
                <w:szCs w:val="16"/>
                <w:lang w:eastAsia="es-CL"/>
              </w:rPr>
              <w:t>% y 30% del activo del fondo respectivamente.</w:t>
            </w:r>
          </w:p>
        </w:tc>
      </w:tr>
      <w:tr w:rsidR="00137770" w:rsidRPr="007F4C24" w14:paraId="2903D982" w14:textId="77777777" w:rsidTr="0095196B">
        <w:trPr>
          <w:trHeight w:val="283"/>
        </w:trPr>
        <w:tc>
          <w:tcPr>
            <w:tcW w:w="3032" w:type="pct"/>
            <w:tcBorders>
              <w:top w:val="nil"/>
              <w:left w:val="single" w:sz="8" w:space="0" w:color="FFFFFF"/>
              <w:bottom w:val="dotted" w:sz="4" w:space="0" w:color="AE1619"/>
              <w:right w:val="single" w:sz="8" w:space="0" w:color="FFFFFF"/>
            </w:tcBorders>
            <w:shd w:val="clear" w:color="auto" w:fill="auto"/>
            <w:hideMark/>
          </w:tcPr>
          <w:p w14:paraId="209FEAE2" w14:textId="77777777" w:rsidR="00137770" w:rsidRPr="0080470F" w:rsidRDefault="00137770">
            <w:pPr>
              <w:ind w:firstLineChars="100" w:firstLine="160"/>
              <w:rPr>
                <w:rFonts w:eastAsia="Times New Roman" w:cs="Calibri"/>
                <w:sz w:val="16"/>
                <w:szCs w:val="16"/>
                <w:lang w:eastAsia="es-CL"/>
              </w:rPr>
            </w:pPr>
            <w:r w:rsidRPr="0080470F">
              <w:rPr>
                <w:rFonts w:eastAsia="Times New Roman" w:cs="Calibri"/>
                <w:sz w:val="16"/>
                <w:szCs w:val="16"/>
                <w:lang w:eastAsia="es-CL"/>
              </w:rPr>
              <w:t>El reglamento deberá establecer que la inversión máxima de un fondo mutuo y un fondo de inversión rescatable, en una entidad o grupo empresarial y sus personas relacionadas, no podrá exceder del 30% de sus activos.</w:t>
            </w:r>
            <w:r w:rsidRPr="0080470F">
              <w:rPr>
                <w:rFonts w:eastAsia="Times New Roman" w:cs="Calibri"/>
                <w:sz w:val="16"/>
                <w:szCs w:val="16"/>
                <w:lang w:eastAsia="es-CL"/>
              </w:rPr>
              <w:br/>
              <w:t>En el caso que el fondo de inversión sea no rescatable, este límite no podrá exceder del 45% de sus activos.</w:t>
            </w:r>
          </w:p>
        </w:tc>
        <w:tc>
          <w:tcPr>
            <w:tcW w:w="1968" w:type="pct"/>
            <w:vMerge/>
            <w:tcBorders>
              <w:top w:val="nil"/>
              <w:left w:val="single" w:sz="8" w:space="0" w:color="FFFFFF"/>
              <w:bottom w:val="dotted" w:sz="4" w:space="0" w:color="AE1619"/>
              <w:right w:val="single" w:sz="8" w:space="0" w:color="FFFFFF"/>
            </w:tcBorders>
            <w:shd w:val="clear" w:color="auto" w:fill="auto"/>
            <w:vAlign w:val="center"/>
            <w:hideMark/>
          </w:tcPr>
          <w:p w14:paraId="32029B12" w14:textId="77777777" w:rsidR="00137770" w:rsidRPr="0080470F" w:rsidRDefault="00137770">
            <w:pPr>
              <w:rPr>
                <w:rFonts w:eastAsia="Times New Roman" w:cs="Calibri"/>
                <w:sz w:val="16"/>
                <w:szCs w:val="16"/>
                <w:lang w:eastAsia="es-CL"/>
              </w:rPr>
            </w:pPr>
          </w:p>
        </w:tc>
      </w:tr>
      <w:tr w:rsidR="00137770" w:rsidRPr="007F4C24" w14:paraId="3123776D" w14:textId="77777777" w:rsidTr="0095196B">
        <w:trPr>
          <w:trHeight w:val="283"/>
        </w:trPr>
        <w:tc>
          <w:tcPr>
            <w:tcW w:w="3032" w:type="pct"/>
            <w:tcBorders>
              <w:top w:val="dotted" w:sz="4" w:space="0" w:color="AE1619"/>
              <w:left w:val="single" w:sz="8" w:space="0" w:color="FFFFFF"/>
              <w:bottom w:val="dotted" w:sz="4" w:space="0" w:color="AE1619"/>
              <w:right w:val="single" w:sz="8" w:space="0" w:color="FFFFFF"/>
            </w:tcBorders>
            <w:shd w:val="clear" w:color="auto" w:fill="auto"/>
            <w:vAlign w:val="center"/>
            <w:hideMark/>
          </w:tcPr>
          <w:p w14:paraId="13BC0D25" w14:textId="77777777" w:rsidR="00137770" w:rsidRPr="0080470F" w:rsidRDefault="00137770">
            <w:pPr>
              <w:rPr>
                <w:rFonts w:eastAsia="Times New Roman" w:cs="Calibri"/>
                <w:sz w:val="16"/>
                <w:szCs w:val="16"/>
                <w:lang w:eastAsia="es-CL"/>
              </w:rPr>
            </w:pPr>
            <w:r w:rsidRPr="0080470F">
              <w:rPr>
                <w:rFonts w:eastAsia="Times New Roman" w:cs="Calibri"/>
                <w:sz w:val="16"/>
                <w:szCs w:val="16"/>
                <w:lang w:eastAsia="es-CL"/>
              </w:rPr>
              <w:t>Valoración de las inversiones.</w:t>
            </w:r>
          </w:p>
        </w:tc>
        <w:tc>
          <w:tcPr>
            <w:tcW w:w="1968" w:type="pct"/>
            <w:tcBorders>
              <w:top w:val="dotted" w:sz="4" w:space="0" w:color="AE1619"/>
              <w:left w:val="nil"/>
              <w:bottom w:val="dotted" w:sz="4" w:space="0" w:color="AE1619"/>
              <w:right w:val="single" w:sz="8" w:space="0" w:color="FFFFFF"/>
            </w:tcBorders>
            <w:shd w:val="clear" w:color="auto" w:fill="auto"/>
            <w:vAlign w:val="center"/>
            <w:hideMark/>
          </w:tcPr>
          <w:p w14:paraId="305111C5" w14:textId="77777777" w:rsidR="00137770" w:rsidRPr="0080470F" w:rsidRDefault="00137770">
            <w:pPr>
              <w:jc w:val="center"/>
              <w:rPr>
                <w:rFonts w:eastAsia="Times New Roman" w:cs="Calibri"/>
                <w:sz w:val="16"/>
                <w:szCs w:val="16"/>
                <w:lang w:eastAsia="es-CL"/>
              </w:rPr>
            </w:pPr>
            <w:r w:rsidRPr="0080470F">
              <w:rPr>
                <w:rFonts w:eastAsia="Times New Roman" w:cs="Calibri"/>
                <w:sz w:val="16"/>
                <w:szCs w:val="16"/>
                <w:lang w:eastAsia="es-CL"/>
              </w:rPr>
              <w:t>Valorización de las inversiones</w:t>
            </w:r>
          </w:p>
        </w:tc>
      </w:tr>
    </w:tbl>
    <w:p w14:paraId="4FD544BC" w14:textId="77777777" w:rsidR="007F755B" w:rsidRDefault="007F755B" w:rsidP="00EF4DE3">
      <w:pPr>
        <w:pStyle w:val="Ttulo1"/>
      </w:pPr>
      <w:r>
        <w:br w:type="page"/>
      </w:r>
    </w:p>
    <w:p w14:paraId="0777638B" w14:textId="3B6FEC9E" w:rsidR="00F305AA" w:rsidRPr="00675964" w:rsidRDefault="001300EF" w:rsidP="00EF4DE3">
      <w:pPr>
        <w:pStyle w:val="Ttulo1"/>
      </w:pPr>
      <w:r w:rsidRPr="00675964">
        <w:lastRenderedPageBreak/>
        <w:t>Definición categoría de riesgo</w:t>
      </w:r>
    </w:p>
    <w:p w14:paraId="1F0CEB73" w14:textId="309C5E10" w:rsidR="001300EF" w:rsidRPr="00675964" w:rsidRDefault="001300EF" w:rsidP="00E10DEB">
      <w:pPr>
        <w:pStyle w:val="Ttulo"/>
        <w:rPr>
          <w:rFonts w:eastAsia="Times New Roman"/>
          <w:lang w:val="es-ES" w:eastAsia="es-ES"/>
        </w:rPr>
      </w:pPr>
      <w:r w:rsidRPr="00675964">
        <w:rPr>
          <w:rFonts w:eastAsia="Times New Roman"/>
          <w:lang w:val="es-ES" w:eastAsia="es-ES"/>
        </w:rPr>
        <w:t xml:space="preserve">Categoría </w:t>
      </w:r>
      <w:proofErr w:type="spellStart"/>
      <w:r w:rsidRPr="00675964">
        <w:rPr>
          <w:rFonts w:eastAsia="Times New Roman"/>
          <w:lang w:val="es-ES" w:eastAsia="es-ES"/>
        </w:rPr>
        <w:t>Afm</w:t>
      </w:r>
      <w:proofErr w:type="spellEnd"/>
    </w:p>
    <w:p w14:paraId="6E5781FA" w14:textId="7F01956C" w:rsidR="00E1060A" w:rsidRPr="00675964" w:rsidRDefault="000410C4" w:rsidP="0075726C">
      <w:pPr>
        <w:spacing w:after="120"/>
        <w:rPr>
          <w:lang w:val="es-ES" w:eastAsia="es-ES"/>
        </w:rPr>
      </w:pPr>
      <w:r w:rsidRPr="00675964">
        <w:t>Cuotas con alta protección ante pérdidas asociadas a riesgo crediticio.</w:t>
      </w:r>
    </w:p>
    <w:p w14:paraId="537CFF76" w14:textId="129AC19D" w:rsidR="00192AF0" w:rsidRPr="00675964" w:rsidRDefault="003B1FF5" w:rsidP="0075726C">
      <w:pPr>
        <w:spacing w:after="120"/>
        <w:rPr>
          <w:lang w:eastAsia="es-ES"/>
        </w:rPr>
      </w:pPr>
      <w:r w:rsidRPr="00675964">
        <w:rPr>
          <w:lang w:eastAsia="es-ES"/>
        </w:rPr>
        <w:t>“+”: Corresponde a los títulos de deuda con menor riesgo relativo dentro de su categoría.</w:t>
      </w:r>
    </w:p>
    <w:p w14:paraId="0A328246" w14:textId="212C99DA" w:rsidR="00F305AA" w:rsidRPr="00675964" w:rsidRDefault="007F755B" w:rsidP="00E10DEB">
      <w:pPr>
        <w:pStyle w:val="Ttulo"/>
        <w:rPr>
          <w:rFonts w:eastAsia="Times New Roman"/>
          <w:lang w:val="es-ES" w:eastAsia="es-ES"/>
        </w:rPr>
      </w:pPr>
      <w:r>
        <w:rPr>
          <w:rFonts w:eastAsia="Times New Roman"/>
          <w:lang w:val="es-ES" w:eastAsia="es-ES"/>
        </w:rPr>
        <w:t xml:space="preserve">Categoría </w:t>
      </w:r>
      <w:r w:rsidR="001300EF" w:rsidRPr="00675964">
        <w:rPr>
          <w:rFonts w:eastAsia="Times New Roman"/>
          <w:lang w:val="es-ES" w:eastAsia="es-ES"/>
        </w:rPr>
        <w:t>M</w:t>
      </w:r>
      <w:r w:rsidR="00675964" w:rsidRPr="00675964">
        <w:rPr>
          <w:rFonts w:eastAsia="Times New Roman"/>
          <w:lang w:val="es-ES" w:eastAsia="es-ES"/>
        </w:rPr>
        <w:t>5</w:t>
      </w:r>
    </w:p>
    <w:p w14:paraId="160081AC" w14:textId="4717068E" w:rsidR="00E675DB" w:rsidRDefault="00E675DB" w:rsidP="000E3499">
      <w:pPr>
        <w:tabs>
          <w:tab w:val="left" w:pos="0"/>
          <w:tab w:val="left" w:pos="11160"/>
        </w:tabs>
        <w:spacing w:after="120"/>
        <w:ind w:right="-1"/>
        <w:jc w:val="both"/>
      </w:pPr>
      <w:r w:rsidRPr="00675964">
        <w:t>Cuotas con</w:t>
      </w:r>
      <w:r w:rsidR="008F31D2" w:rsidRPr="00675964">
        <w:t xml:space="preserve"> </w:t>
      </w:r>
      <w:r w:rsidR="00675964" w:rsidRPr="00675964">
        <w:t>alta</w:t>
      </w:r>
      <w:r w:rsidR="00907CC6" w:rsidRPr="00675964">
        <w:t xml:space="preserve"> </w:t>
      </w:r>
      <w:r w:rsidRPr="00675964">
        <w:t>sensibilidad frente a cambios en las condiciones de mercado</w:t>
      </w:r>
      <w:r w:rsidR="00F10676" w:rsidRPr="00675964">
        <w:t>.</w:t>
      </w:r>
    </w:p>
    <w:p w14:paraId="59633E91" w14:textId="77777777" w:rsidR="007F755B" w:rsidRPr="00675964" w:rsidRDefault="007F755B" w:rsidP="000E3499">
      <w:pPr>
        <w:tabs>
          <w:tab w:val="left" w:pos="0"/>
          <w:tab w:val="left" w:pos="11160"/>
        </w:tabs>
        <w:spacing w:after="120"/>
        <w:ind w:right="-1"/>
        <w:jc w:val="both"/>
      </w:pPr>
    </w:p>
    <w:p w14:paraId="0EF54D1E" w14:textId="399B6741" w:rsidR="00C11B97" w:rsidRPr="00675964" w:rsidRDefault="00610721" w:rsidP="00E10DEB">
      <w:pPr>
        <w:pStyle w:val="Ttulo1"/>
        <w:rPr>
          <w:lang w:val="es-ES"/>
        </w:rPr>
      </w:pPr>
      <w:r w:rsidRPr="00675964">
        <w:rPr>
          <w:lang w:val="es-ES"/>
        </w:rPr>
        <w:t>Antecedentes generales</w:t>
      </w:r>
    </w:p>
    <w:p w14:paraId="7FEF93FF" w14:textId="42B4223E" w:rsidR="00C11B97" w:rsidRPr="00383933" w:rsidRDefault="004316C5" w:rsidP="00C11B97">
      <w:pPr>
        <w:pStyle w:val="Ttulo"/>
      </w:pPr>
      <w:r w:rsidRPr="00383933">
        <w:t>Administración del fondo</w:t>
      </w:r>
    </w:p>
    <w:p w14:paraId="75F27304" w14:textId="075A4AEE" w:rsidR="001B309C" w:rsidRPr="00445722" w:rsidRDefault="00F31BCE" w:rsidP="00AC7EFB">
      <w:pPr>
        <w:spacing w:after="120"/>
        <w:jc w:val="both"/>
      </w:pPr>
      <w:r w:rsidRPr="00383933">
        <w:rPr>
          <w:b/>
          <w:bCs/>
        </w:rPr>
        <w:t xml:space="preserve">FM </w:t>
      </w:r>
      <w:proofErr w:type="spellStart"/>
      <w:r w:rsidR="007B4C42" w:rsidRPr="00383933">
        <w:rPr>
          <w:b/>
          <w:bCs/>
        </w:rPr>
        <w:t>Latam</w:t>
      </w:r>
      <w:proofErr w:type="spellEnd"/>
      <w:r w:rsidR="007B4C42" w:rsidRPr="00383933">
        <w:rPr>
          <w:b/>
          <w:bCs/>
        </w:rPr>
        <w:t xml:space="preserve"> </w:t>
      </w:r>
      <w:proofErr w:type="spellStart"/>
      <w:r w:rsidR="007B4C42" w:rsidRPr="00383933">
        <w:rPr>
          <w:b/>
          <w:bCs/>
        </w:rPr>
        <w:t>Corporate</w:t>
      </w:r>
      <w:proofErr w:type="spellEnd"/>
      <w:r w:rsidR="001B309C" w:rsidRPr="00383933">
        <w:rPr>
          <w:b/>
          <w:bCs/>
        </w:rPr>
        <w:t xml:space="preserve"> </w:t>
      </w:r>
      <w:r w:rsidR="001B309C" w:rsidRPr="00383933">
        <w:t xml:space="preserve">es administrado por Banchile Administradora General de Fondos S.A., sociedad filial de Banco de Chile (con un 99,98% de la propiedad de Banco de Chile y un 0,02% en manos de Banchile Asesoría Financiera S.A.). En 2008 el banco absorbió los activos y pasivos de Citibank Chile, filial chilena de Citigroup Inc., una de las empresas de servicios financieros más grandes del mundo, con </w:t>
      </w:r>
      <w:r w:rsidR="001B309C" w:rsidRPr="00654ACC">
        <w:t xml:space="preserve">quienes tienen un acuerdo de cooperación y conectividad global, que contempla el apoyo mutuo para la realización de diversos </w:t>
      </w:r>
      <w:r w:rsidR="001B309C" w:rsidRPr="00445722">
        <w:t>negocios, y el uso limitado de la marca “Citi</w:t>
      </w:r>
      <w:r w:rsidR="008B75BD">
        <w:t>”.</w:t>
      </w:r>
    </w:p>
    <w:p w14:paraId="4D7CE0B5" w14:textId="65784047" w:rsidR="008A1F6A" w:rsidRPr="00445722" w:rsidRDefault="0051652E" w:rsidP="006A61E0">
      <w:pPr>
        <w:spacing w:after="120"/>
        <w:jc w:val="both"/>
      </w:pPr>
      <w:r w:rsidRPr="00445722">
        <w:t xml:space="preserve">De acuerdo con lo informado por la CMF, a </w:t>
      </w:r>
      <w:r w:rsidR="00C476DE">
        <w:t>noviembre</w:t>
      </w:r>
      <w:r w:rsidR="00EC1C83" w:rsidRPr="00445722">
        <w:t xml:space="preserve"> de 202</w:t>
      </w:r>
      <w:r w:rsidR="00C476DE">
        <w:t>2</w:t>
      </w:r>
      <w:r w:rsidRPr="00445722">
        <w:t xml:space="preserve">, </w:t>
      </w:r>
      <w:r w:rsidR="00EC1C83" w:rsidRPr="00445722">
        <w:t>Banchile AGF</w:t>
      </w:r>
      <w:r w:rsidRPr="00445722">
        <w:t xml:space="preserve"> gestionaba</w:t>
      </w:r>
      <w:r w:rsidR="000D3ACD" w:rsidRPr="00445722">
        <w:t xml:space="preserve"> </w:t>
      </w:r>
      <w:r w:rsidR="009C5BD5">
        <w:t>5</w:t>
      </w:r>
      <w:r w:rsidR="00B56BDF">
        <w:t>8</w:t>
      </w:r>
      <w:r w:rsidR="00EC1C83" w:rsidRPr="00445722">
        <w:t xml:space="preserve"> </w:t>
      </w:r>
      <w:r w:rsidRPr="00445722">
        <w:t>fondos mutuos, con un patrimonio de US$</w:t>
      </w:r>
      <w:r w:rsidR="00B8773F" w:rsidRPr="00445722">
        <w:t>1</w:t>
      </w:r>
      <w:r w:rsidR="00E22BAA">
        <w:t>0</w:t>
      </w:r>
      <w:r w:rsidR="00654ACC" w:rsidRPr="00445722">
        <w:t>.9</w:t>
      </w:r>
      <w:r w:rsidR="00E22BAA">
        <w:t>21</w:t>
      </w:r>
      <w:r w:rsidRPr="00445722">
        <w:t xml:space="preserve"> millones, alcanzando una participación de mercado del</w:t>
      </w:r>
      <w:r w:rsidR="009D7E0A" w:rsidRPr="00445722">
        <w:t xml:space="preserve"> 2</w:t>
      </w:r>
      <w:r w:rsidR="004D064D">
        <w:t>2</w:t>
      </w:r>
      <w:r w:rsidR="00445722" w:rsidRPr="00445722">
        <w:t>,</w:t>
      </w:r>
      <w:r w:rsidR="005D46BA">
        <w:t>33</w:t>
      </w:r>
      <w:r w:rsidR="009D7E0A" w:rsidRPr="00445722">
        <w:t>%</w:t>
      </w:r>
      <w:r w:rsidR="007635BC" w:rsidRPr="00445722">
        <w:t>.</w:t>
      </w:r>
      <w:r w:rsidRPr="00445722">
        <w:t xml:space="preserve"> La</w:t>
      </w:r>
      <w:r w:rsidR="00C25B0B" w:rsidRPr="00445722">
        <w:t xml:space="preserve"> </w:t>
      </w:r>
      <w:r w:rsidR="00107349" w:rsidRPr="00445722">
        <w:fldChar w:fldCharType="begin"/>
      </w:r>
      <w:r w:rsidR="00107349" w:rsidRPr="00445722">
        <w:instrText xml:space="preserve"> REF _Ref76458070 \h </w:instrText>
      </w:r>
      <w:r w:rsidR="00A9657B" w:rsidRPr="00445722">
        <w:instrText xml:space="preserve"> \* MERGEFORMAT </w:instrText>
      </w:r>
      <w:r w:rsidR="00107349" w:rsidRPr="00445722">
        <w:fldChar w:fldCharType="separate"/>
      </w:r>
      <w:r w:rsidR="00BA37AC" w:rsidRPr="00047D51">
        <w:t xml:space="preserve">Tabla </w:t>
      </w:r>
      <w:r w:rsidR="00BA37AC">
        <w:rPr>
          <w:noProof/>
        </w:rPr>
        <w:t>1</w:t>
      </w:r>
      <w:r w:rsidR="00107349" w:rsidRPr="00445722">
        <w:fldChar w:fldCharType="end"/>
      </w:r>
      <w:r w:rsidR="00107349" w:rsidRPr="00445722">
        <w:t xml:space="preserve"> </w:t>
      </w:r>
      <w:r w:rsidR="006C54D0" w:rsidRPr="00445722">
        <w:t>presenta la distribución por tipo de fondos administrado por la sociedad a</w:t>
      </w:r>
      <w:r w:rsidR="00445722">
        <w:t xml:space="preserve"> </w:t>
      </w:r>
      <w:r w:rsidR="00FB0CF3">
        <w:t>noviembre</w:t>
      </w:r>
      <w:r w:rsidR="006C54D0" w:rsidRPr="00445722">
        <w:t xml:space="preserve"> de 202</w:t>
      </w:r>
      <w:r w:rsidR="00FB0CF3">
        <w:t>2</w:t>
      </w:r>
      <w:r w:rsidR="006C54D0" w:rsidRPr="00445722">
        <w:t>.</w:t>
      </w:r>
    </w:p>
    <w:p w14:paraId="40966B95" w14:textId="38C886BE" w:rsidR="00B532D1" w:rsidRPr="00047D51" w:rsidRDefault="00B532D1" w:rsidP="00B532D1">
      <w:pPr>
        <w:pStyle w:val="Descripcin"/>
        <w:keepNext/>
      </w:pPr>
      <w:bookmarkStart w:id="0" w:name="_Ref76458070"/>
      <w:r w:rsidRPr="00047D51">
        <w:t xml:space="preserve">Tabla </w:t>
      </w:r>
      <w:r w:rsidRPr="00047D51">
        <w:fldChar w:fldCharType="begin"/>
      </w:r>
      <w:r w:rsidRPr="00047D51">
        <w:instrText>SEQ Tabla \* ARABIC</w:instrText>
      </w:r>
      <w:r w:rsidRPr="00047D51">
        <w:fldChar w:fldCharType="separate"/>
      </w:r>
      <w:r w:rsidR="00BA37AC">
        <w:rPr>
          <w:noProof/>
        </w:rPr>
        <w:t>1</w:t>
      </w:r>
      <w:r w:rsidRPr="00047D51">
        <w:fldChar w:fldCharType="end"/>
      </w:r>
      <w:bookmarkEnd w:id="0"/>
      <w:r w:rsidRPr="00047D51">
        <w:t xml:space="preserve">: </w:t>
      </w:r>
      <w:r w:rsidR="0061251F" w:rsidRPr="00047D51">
        <w:t>Distribución de los fondos administrados</w:t>
      </w:r>
    </w:p>
    <w:tbl>
      <w:tblPr>
        <w:tblW w:w="4960" w:type="dxa"/>
        <w:jc w:val="center"/>
        <w:tblCellMar>
          <w:left w:w="70" w:type="dxa"/>
          <w:right w:w="70" w:type="dxa"/>
        </w:tblCellMar>
        <w:tblLook w:val="04A0" w:firstRow="1" w:lastRow="0" w:firstColumn="1" w:lastColumn="0" w:noHBand="0" w:noVBand="1"/>
      </w:tblPr>
      <w:tblGrid>
        <w:gridCol w:w="3300"/>
        <w:gridCol w:w="1660"/>
      </w:tblGrid>
      <w:tr w:rsidR="00F7592B" w:rsidRPr="00311D1A" w14:paraId="4C13504C" w14:textId="77777777" w:rsidTr="0075726C">
        <w:trPr>
          <w:trHeight w:val="283"/>
          <w:jc w:val="center"/>
        </w:trPr>
        <w:tc>
          <w:tcPr>
            <w:tcW w:w="4960" w:type="dxa"/>
            <w:gridSpan w:val="2"/>
            <w:tcBorders>
              <w:top w:val="nil"/>
              <w:left w:val="nil"/>
              <w:bottom w:val="nil"/>
              <w:right w:val="nil"/>
            </w:tcBorders>
            <w:shd w:val="clear" w:color="000000" w:fill="BB1823"/>
            <w:noWrap/>
            <w:vAlign w:val="center"/>
            <w:hideMark/>
          </w:tcPr>
          <w:p w14:paraId="2C908DCB" w14:textId="041C96D2" w:rsidR="00F7592B" w:rsidRPr="00047D51" w:rsidRDefault="00F7592B" w:rsidP="009C75F1">
            <w:pPr>
              <w:jc w:val="center"/>
              <w:rPr>
                <w:rFonts w:eastAsia="Times New Roman" w:cs="Calibri"/>
                <w:b/>
                <w:bCs/>
                <w:color w:val="FFFFFF"/>
                <w:sz w:val="18"/>
                <w:szCs w:val="18"/>
                <w:lang w:eastAsia="es-CL"/>
              </w:rPr>
            </w:pPr>
            <w:r w:rsidRPr="00047D51">
              <w:rPr>
                <w:rFonts w:eastAsia="Times New Roman" w:cs="Calibri"/>
                <w:b/>
                <w:bCs/>
                <w:color w:val="FFFFFF"/>
                <w:sz w:val="18"/>
                <w:szCs w:val="18"/>
                <w:lang w:val="es-ES" w:eastAsia="es-CL"/>
              </w:rPr>
              <w:t>Distribución por tipo de fondos</w:t>
            </w:r>
          </w:p>
        </w:tc>
      </w:tr>
      <w:tr w:rsidR="00F7592B" w:rsidRPr="00311D1A" w14:paraId="561468AC" w14:textId="77777777" w:rsidTr="0075726C">
        <w:trPr>
          <w:trHeight w:val="283"/>
          <w:jc w:val="center"/>
        </w:trPr>
        <w:tc>
          <w:tcPr>
            <w:tcW w:w="3300" w:type="dxa"/>
            <w:tcBorders>
              <w:top w:val="nil"/>
              <w:left w:val="nil"/>
              <w:bottom w:val="nil"/>
              <w:right w:val="nil"/>
            </w:tcBorders>
            <w:shd w:val="clear" w:color="auto" w:fill="auto"/>
            <w:noWrap/>
            <w:vAlign w:val="center"/>
            <w:hideMark/>
          </w:tcPr>
          <w:p w14:paraId="1BFC4E20" w14:textId="28F4CC08" w:rsidR="00F7592B" w:rsidRPr="00047D51" w:rsidRDefault="00BE703F" w:rsidP="00A34D68">
            <w:pPr>
              <w:rPr>
                <w:rFonts w:eastAsia="Times New Roman" w:cs="Calibri"/>
                <w:color w:val="333D6B"/>
                <w:sz w:val="18"/>
                <w:szCs w:val="18"/>
                <w:lang w:eastAsia="es-CL"/>
              </w:rPr>
            </w:pPr>
            <w:r w:rsidRPr="00047D51">
              <w:rPr>
                <w:rFonts w:eastAsia="Times New Roman" w:cs="Calibri"/>
                <w:color w:val="333D6B"/>
                <w:sz w:val="18"/>
                <w:szCs w:val="18"/>
                <w:lang w:eastAsia="es-CL"/>
              </w:rPr>
              <w:t>Deuda corto plazo menor a 90 días</w:t>
            </w:r>
          </w:p>
        </w:tc>
        <w:tc>
          <w:tcPr>
            <w:tcW w:w="1660" w:type="dxa"/>
            <w:tcBorders>
              <w:top w:val="nil"/>
              <w:left w:val="nil"/>
              <w:bottom w:val="nil"/>
              <w:right w:val="nil"/>
            </w:tcBorders>
            <w:shd w:val="clear" w:color="auto" w:fill="auto"/>
            <w:noWrap/>
            <w:vAlign w:val="center"/>
            <w:hideMark/>
          </w:tcPr>
          <w:p w14:paraId="394DE549" w14:textId="7475106C" w:rsidR="00F7592B" w:rsidRPr="00047D51" w:rsidRDefault="00453187" w:rsidP="009C75F1">
            <w:pPr>
              <w:jc w:val="right"/>
              <w:rPr>
                <w:rFonts w:eastAsia="Times New Roman" w:cs="Calibri"/>
                <w:color w:val="333D6B"/>
                <w:sz w:val="18"/>
                <w:szCs w:val="18"/>
                <w:lang w:eastAsia="es-CL"/>
              </w:rPr>
            </w:pPr>
            <w:r>
              <w:rPr>
                <w:rFonts w:eastAsia="Times New Roman" w:cs="Calibri"/>
                <w:color w:val="333D6B"/>
                <w:sz w:val="18"/>
                <w:szCs w:val="18"/>
                <w:lang w:val="es-ES" w:eastAsia="es-CL"/>
              </w:rPr>
              <w:t>32</w:t>
            </w:r>
            <w:r w:rsidR="00047D51" w:rsidRPr="00047D51">
              <w:rPr>
                <w:rFonts w:eastAsia="Times New Roman" w:cs="Calibri"/>
                <w:color w:val="333D6B"/>
                <w:sz w:val="18"/>
                <w:szCs w:val="18"/>
                <w:lang w:val="es-ES" w:eastAsia="es-CL"/>
              </w:rPr>
              <w:t>,2</w:t>
            </w:r>
            <w:r>
              <w:rPr>
                <w:rFonts w:eastAsia="Times New Roman" w:cs="Calibri"/>
                <w:color w:val="333D6B"/>
                <w:sz w:val="18"/>
                <w:szCs w:val="18"/>
                <w:lang w:val="es-ES" w:eastAsia="es-CL"/>
              </w:rPr>
              <w:t>3</w:t>
            </w:r>
            <w:r w:rsidR="004E4FCB" w:rsidRPr="00047D51">
              <w:rPr>
                <w:rFonts w:eastAsia="Times New Roman" w:cs="Calibri"/>
                <w:color w:val="333D6B"/>
                <w:sz w:val="18"/>
                <w:szCs w:val="18"/>
                <w:lang w:val="es-ES" w:eastAsia="es-CL"/>
              </w:rPr>
              <w:t>%</w:t>
            </w:r>
          </w:p>
        </w:tc>
      </w:tr>
      <w:tr w:rsidR="00F7592B" w:rsidRPr="00311D1A" w14:paraId="4CE2696D"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hideMark/>
          </w:tcPr>
          <w:p w14:paraId="680060FA" w14:textId="7426043B" w:rsidR="00F7592B" w:rsidRPr="00047D51" w:rsidRDefault="00BE703F" w:rsidP="00A34D68">
            <w:pPr>
              <w:rPr>
                <w:rFonts w:eastAsia="Times New Roman" w:cs="Calibri"/>
                <w:color w:val="333D6B"/>
                <w:sz w:val="18"/>
                <w:szCs w:val="18"/>
                <w:lang w:eastAsia="es-CL"/>
              </w:rPr>
            </w:pPr>
            <w:r w:rsidRPr="00047D51">
              <w:rPr>
                <w:rFonts w:eastAsia="Times New Roman" w:cs="Calibri"/>
                <w:color w:val="333D6B"/>
                <w:sz w:val="18"/>
                <w:szCs w:val="18"/>
                <w:lang w:val="es-ES" w:eastAsia="es-CL"/>
              </w:rPr>
              <w:t>Deuda corto plazo mayor a 90 días</w:t>
            </w:r>
          </w:p>
        </w:tc>
        <w:tc>
          <w:tcPr>
            <w:tcW w:w="1660" w:type="dxa"/>
            <w:tcBorders>
              <w:top w:val="dotted" w:sz="4" w:space="0" w:color="E6344B"/>
              <w:left w:val="nil"/>
              <w:bottom w:val="dotted" w:sz="4" w:space="0" w:color="E6344B"/>
              <w:right w:val="nil"/>
            </w:tcBorders>
            <w:shd w:val="clear" w:color="auto" w:fill="auto"/>
            <w:noWrap/>
            <w:vAlign w:val="center"/>
            <w:hideMark/>
          </w:tcPr>
          <w:p w14:paraId="7195567F" w14:textId="0CD94690" w:rsidR="00F7592B" w:rsidRPr="00047D51" w:rsidRDefault="00453187" w:rsidP="009C75F1">
            <w:pPr>
              <w:jc w:val="right"/>
              <w:rPr>
                <w:rFonts w:eastAsia="Times New Roman" w:cs="Calibri"/>
                <w:color w:val="333D6B"/>
                <w:sz w:val="18"/>
                <w:szCs w:val="18"/>
                <w:lang w:eastAsia="es-CL"/>
              </w:rPr>
            </w:pPr>
            <w:r>
              <w:rPr>
                <w:rFonts w:eastAsia="Times New Roman" w:cs="Calibri"/>
                <w:color w:val="333D6B"/>
                <w:sz w:val="18"/>
                <w:szCs w:val="18"/>
                <w:lang w:val="es-ES" w:eastAsia="es-CL"/>
              </w:rPr>
              <w:t>5</w:t>
            </w:r>
            <w:r w:rsidR="00047D51" w:rsidRPr="00047D51">
              <w:rPr>
                <w:rFonts w:eastAsia="Times New Roman" w:cs="Calibri"/>
                <w:color w:val="333D6B"/>
                <w:sz w:val="18"/>
                <w:szCs w:val="18"/>
                <w:lang w:val="es-ES" w:eastAsia="es-CL"/>
              </w:rPr>
              <w:t>,</w:t>
            </w:r>
            <w:r>
              <w:rPr>
                <w:rFonts w:eastAsia="Times New Roman" w:cs="Calibri"/>
                <w:color w:val="333D6B"/>
                <w:sz w:val="18"/>
                <w:szCs w:val="18"/>
                <w:lang w:val="es-ES" w:eastAsia="es-CL"/>
              </w:rPr>
              <w:t>5</w:t>
            </w:r>
            <w:r w:rsidR="00047D51" w:rsidRPr="00047D51">
              <w:rPr>
                <w:rFonts w:eastAsia="Times New Roman" w:cs="Calibri"/>
                <w:color w:val="333D6B"/>
                <w:sz w:val="18"/>
                <w:szCs w:val="18"/>
                <w:lang w:val="es-ES" w:eastAsia="es-CL"/>
              </w:rPr>
              <w:t>3</w:t>
            </w:r>
            <w:r w:rsidR="004E4FCB" w:rsidRPr="00047D51">
              <w:rPr>
                <w:rFonts w:eastAsia="Times New Roman" w:cs="Calibri"/>
                <w:color w:val="333D6B"/>
                <w:sz w:val="18"/>
                <w:szCs w:val="18"/>
                <w:lang w:val="es-ES" w:eastAsia="es-CL"/>
              </w:rPr>
              <w:t>%</w:t>
            </w:r>
          </w:p>
        </w:tc>
      </w:tr>
      <w:tr w:rsidR="00F7592B" w:rsidRPr="00311D1A" w14:paraId="48E7EE42"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tcPr>
          <w:p w14:paraId="43300ACF" w14:textId="28FA77D4" w:rsidR="00F7592B" w:rsidRPr="00047D51" w:rsidRDefault="00BE703F" w:rsidP="00A34D68">
            <w:pPr>
              <w:rPr>
                <w:rFonts w:eastAsia="Times New Roman" w:cs="Calibri"/>
                <w:color w:val="333D6B"/>
                <w:sz w:val="18"/>
                <w:szCs w:val="18"/>
                <w:lang w:val="es-ES" w:eastAsia="es-CL"/>
              </w:rPr>
            </w:pPr>
            <w:r w:rsidRPr="00047D51">
              <w:rPr>
                <w:rFonts w:eastAsia="Times New Roman" w:cs="Calibri"/>
                <w:color w:val="333D6B"/>
                <w:sz w:val="18"/>
                <w:szCs w:val="18"/>
                <w:lang w:val="es-ES" w:eastAsia="es-CL"/>
              </w:rPr>
              <w:t>Mediano y largo plazo</w:t>
            </w:r>
          </w:p>
        </w:tc>
        <w:tc>
          <w:tcPr>
            <w:tcW w:w="1660" w:type="dxa"/>
            <w:tcBorders>
              <w:top w:val="dotted" w:sz="4" w:space="0" w:color="E6344B"/>
              <w:left w:val="nil"/>
              <w:bottom w:val="dotted" w:sz="4" w:space="0" w:color="E6344B"/>
              <w:right w:val="nil"/>
            </w:tcBorders>
            <w:shd w:val="clear" w:color="auto" w:fill="auto"/>
            <w:noWrap/>
            <w:vAlign w:val="center"/>
          </w:tcPr>
          <w:p w14:paraId="251B84C9" w14:textId="19B793A5" w:rsidR="00F7592B" w:rsidRPr="00047D51" w:rsidRDefault="004E4FCB" w:rsidP="009C75F1">
            <w:pPr>
              <w:jc w:val="right"/>
              <w:rPr>
                <w:rFonts w:eastAsia="Times New Roman" w:cs="Calibri"/>
                <w:color w:val="333D6B"/>
                <w:sz w:val="18"/>
                <w:szCs w:val="18"/>
                <w:lang w:val="es-ES" w:eastAsia="es-CL"/>
              </w:rPr>
            </w:pPr>
            <w:r w:rsidRPr="00047D51">
              <w:rPr>
                <w:rFonts w:eastAsia="Times New Roman" w:cs="Calibri"/>
                <w:color w:val="333D6B"/>
                <w:sz w:val="18"/>
                <w:szCs w:val="18"/>
                <w:lang w:val="es-ES" w:eastAsia="es-CL"/>
              </w:rPr>
              <w:t>1</w:t>
            </w:r>
            <w:r w:rsidR="00453187">
              <w:rPr>
                <w:rFonts w:eastAsia="Times New Roman" w:cs="Calibri"/>
                <w:color w:val="333D6B"/>
                <w:sz w:val="18"/>
                <w:szCs w:val="18"/>
                <w:lang w:val="es-ES" w:eastAsia="es-CL"/>
              </w:rPr>
              <w:t>2</w:t>
            </w:r>
            <w:r w:rsidR="00047D51" w:rsidRPr="00047D51">
              <w:rPr>
                <w:rFonts w:eastAsia="Times New Roman" w:cs="Calibri"/>
                <w:color w:val="333D6B"/>
                <w:sz w:val="18"/>
                <w:szCs w:val="18"/>
                <w:lang w:val="es-ES" w:eastAsia="es-CL"/>
              </w:rPr>
              <w:t>,1</w:t>
            </w:r>
            <w:r w:rsidR="00453187">
              <w:rPr>
                <w:rFonts w:eastAsia="Times New Roman" w:cs="Calibri"/>
                <w:color w:val="333D6B"/>
                <w:sz w:val="18"/>
                <w:szCs w:val="18"/>
                <w:lang w:val="es-ES" w:eastAsia="es-CL"/>
              </w:rPr>
              <w:t>6</w:t>
            </w:r>
            <w:r w:rsidRPr="00047D51">
              <w:rPr>
                <w:rFonts w:eastAsia="Times New Roman" w:cs="Calibri"/>
                <w:color w:val="333D6B"/>
                <w:sz w:val="18"/>
                <w:szCs w:val="18"/>
                <w:lang w:val="es-ES" w:eastAsia="es-CL"/>
              </w:rPr>
              <w:t>%</w:t>
            </w:r>
          </w:p>
        </w:tc>
      </w:tr>
      <w:tr w:rsidR="00F7592B" w:rsidRPr="00311D1A" w14:paraId="309A49F2"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tcPr>
          <w:p w14:paraId="04AC3AF0" w14:textId="23D9A52B" w:rsidR="00F7592B" w:rsidRPr="00047D51" w:rsidRDefault="00BE703F" w:rsidP="00A34D68">
            <w:pPr>
              <w:rPr>
                <w:rFonts w:eastAsia="Times New Roman" w:cs="Calibri"/>
                <w:color w:val="333D6B"/>
                <w:sz w:val="18"/>
                <w:szCs w:val="18"/>
                <w:lang w:val="es-ES" w:eastAsia="es-CL"/>
              </w:rPr>
            </w:pPr>
            <w:r w:rsidRPr="00047D51">
              <w:rPr>
                <w:rFonts w:eastAsia="Times New Roman" w:cs="Calibri"/>
                <w:color w:val="333D6B"/>
                <w:sz w:val="18"/>
                <w:szCs w:val="18"/>
                <w:lang w:val="es-ES" w:eastAsia="es-CL"/>
              </w:rPr>
              <w:t>Mixto</w:t>
            </w:r>
          </w:p>
        </w:tc>
        <w:tc>
          <w:tcPr>
            <w:tcW w:w="1660" w:type="dxa"/>
            <w:tcBorders>
              <w:top w:val="dotted" w:sz="4" w:space="0" w:color="E6344B"/>
              <w:left w:val="nil"/>
              <w:bottom w:val="dotted" w:sz="4" w:space="0" w:color="E6344B"/>
              <w:right w:val="nil"/>
            </w:tcBorders>
            <w:shd w:val="clear" w:color="auto" w:fill="auto"/>
            <w:noWrap/>
            <w:vAlign w:val="center"/>
          </w:tcPr>
          <w:p w14:paraId="5E5DBE4F" w14:textId="47777D0C" w:rsidR="00F7592B" w:rsidRPr="00047D51" w:rsidRDefault="004E4FCB" w:rsidP="009C75F1">
            <w:pPr>
              <w:jc w:val="right"/>
              <w:rPr>
                <w:rFonts w:eastAsia="Times New Roman" w:cs="Calibri"/>
                <w:color w:val="333D6B"/>
                <w:sz w:val="18"/>
                <w:szCs w:val="18"/>
                <w:lang w:val="es-ES" w:eastAsia="es-CL"/>
              </w:rPr>
            </w:pPr>
            <w:r w:rsidRPr="00047D51">
              <w:rPr>
                <w:rFonts w:eastAsia="Times New Roman" w:cs="Calibri"/>
                <w:color w:val="333D6B"/>
                <w:sz w:val="18"/>
                <w:szCs w:val="18"/>
                <w:lang w:val="es-ES" w:eastAsia="es-CL"/>
              </w:rPr>
              <w:t>0,</w:t>
            </w:r>
            <w:r w:rsidR="00453187">
              <w:rPr>
                <w:rFonts w:eastAsia="Times New Roman" w:cs="Calibri"/>
                <w:color w:val="333D6B"/>
                <w:sz w:val="18"/>
                <w:szCs w:val="18"/>
                <w:lang w:val="es-ES" w:eastAsia="es-CL"/>
              </w:rPr>
              <w:t>34</w:t>
            </w:r>
            <w:r w:rsidRPr="00047D51">
              <w:rPr>
                <w:rFonts w:eastAsia="Times New Roman" w:cs="Calibri"/>
                <w:color w:val="333D6B"/>
                <w:sz w:val="18"/>
                <w:szCs w:val="18"/>
                <w:lang w:val="es-ES" w:eastAsia="es-CL"/>
              </w:rPr>
              <w:t>%</w:t>
            </w:r>
          </w:p>
        </w:tc>
      </w:tr>
      <w:tr w:rsidR="00F7592B" w:rsidRPr="00311D1A" w14:paraId="7399F624"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tcPr>
          <w:p w14:paraId="1C5F183F" w14:textId="4A905586" w:rsidR="00F7592B" w:rsidRPr="00047D51" w:rsidRDefault="00BE703F" w:rsidP="00A34D68">
            <w:pPr>
              <w:rPr>
                <w:rFonts w:eastAsia="Times New Roman" w:cs="Calibri"/>
                <w:color w:val="333D6B"/>
                <w:sz w:val="18"/>
                <w:szCs w:val="18"/>
                <w:lang w:val="es-ES" w:eastAsia="es-CL"/>
              </w:rPr>
            </w:pPr>
            <w:r w:rsidRPr="00047D51">
              <w:rPr>
                <w:rFonts w:eastAsia="Times New Roman" w:cs="Calibri"/>
                <w:color w:val="333D6B"/>
                <w:sz w:val="18"/>
                <w:szCs w:val="18"/>
                <w:lang w:val="es-ES" w:eastAsia="es-CL"/>
              </w:rPr>
              <w:t>Capitalización</w:t>
            </w:r>
          </w:p>
        </w:tc>
        <w:tc>
          <w:tcPr>
            <w:tcW w:w="1660" w:type="dxa"/>
            <w:tcBorders>
              <w:top w:val="dotted" w:sz="4" w:space="0" w:color="E6344B"/>
              <w:left w:val="nil"/>
              <w:bottom w:val="dotted" w:sz="4" w:space="0" w:color="E6344B"/>
              <w:right w:val="nil"/>
            </w:tcBorders>
            <w:shd w:val="clear" w:color="auto" w:fill="auto"/>
            <w:noWrap/>
            <w:vAlign w:val="center"/>
          </w:tcPr>
          <w:p w14:paraId="0731F9AA" w14:textId="0A8F1773" w:rsidR="00F7592B" w:rsidRPr="00047D51" w:rsidRDefault="00453187" w:rsidP="009C75F1">
            <w:pPr>
              <w:jc w:val="right"/>
              <w:rPr>
                <w:rFonts w:eastAsia="Times New Roman" w:cs="Calibri"/>
                <w:color w:val="333D6B"/>
                <w:sz w:val="18"/>
                <w:szCs w:val="18"/>
                <w:lang w:val="es-ES" w:eastAsia="es-CL"/>
              </w:rPr>
            </w:pPr>
            <w:r>
              <w:rPr>
                <w:rFonts w:eastAsia="Times New Roman" w:cs="Calibri"/>
                <w:color w:val="333D6B"/>
                <w:sz w:val="18"/>
                <w:szCs w:val="18"/>
                <w:lang w:val="es-ES" w:eastAsia="es-CL"/>
              </w:rPr>
              <w:t>6</w:t>
            </w:r>
            <w:r w:rsidR="004E4FCB" w:rsidRPr="00047D51">
              <w:rPr>
                <w:rFonts w:eastAsia="Times New Roman" w:cs="Calibri"/>
                <w:color w:val="333D6B"/>
                <w:sz w:val="18"/>
                <w:szCs w:val="18"/>
                <w:lang w:val="es-ES" w:eastAsia="es-CL"/>
              </w:rPr>
              <w:t>,</w:t>
            </w:r>
            <w:r>
              <w:rPr>
                <w:rFonts w:eastAsia="Times New Roman" w:cs="Calibri"/>
                <w:color w:val="333D6B"/>
                <w:sz w:val="18"/>
                <w:szCs w:val="18"/>
                <w:lang w:val="es-ES" w:eastAsia="es-CL"/>
              </w:rPr>
              <w:t>5</w:t>
            </w:r>
            <w:r w:rsidR="00047D51" w:rsidRPr="00047D51">
              <w:rPr>
                <w:rFonts w:eastAsia="Times New Roman" w:cs="Calibri"/>
                <w:color w:val="333D6B"/>
                <w:sz w:val="18"/>
                <w:szCs w:val="18"/>
                <w:lang w:val="es-ES" w:eastAsia="es-CL"/>
              </w:rPr>
              <w:t>1</w:t>
            </w:r>
            <w:r w:rsidR="004E4FCB" w:rsidRPr="00047D51">
              <w:rPr>
                <w:rFonts w:eastAsia="Times New Roman" w:cs="Calibri"/>
                <w:color w:val="333D6B"/>
                <w:sz w:val="18"/>
                <w:szCs w:val="18"/>
                <w:lang w:val="es-ES" w:eastAsia="es-CL"/>
              </w:rPr>
              <w:t>%</w:t>
            </w:r>
          </w:p>
        </w:tc>
      </w:tr>
      <w:tr w:rsidR="00F7592B" w:rsidRPr="00311D1A" w14:paraId="6608E37B"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tcPr>
          <w:p w14:paraId="7484B0B2" w14:textId="64F222E5" w:rsidR="00F7592B" w:rsidRPr="00047D51" w:rsidRDefault="00BE703F" w:rsidP="00A34D68">
            <w:pPr>
              <w:rPr>
                <w:rFonts w:eastAsia="Times New Roman" w:cs="Calibri"/>
                <w:color w:val="333D6B"/>
                <w:sz w:val="18"/>
                <w:szCs w:val="18"/>
                <w:lang w:val="es-ES" w:eastAsia="es-CL"/>
              </w:rPr>
            </w:pPr>
            <w:r w:rsidRPr="00047D51">
              <w:rPr>
                <w:rFonts w:eastAsia="Times New Roman" w:cs="Calibri"/>
                <w:color w:val="333D6B"/>
                <w:sz w:val="18"/>
                <w:szCs w:val="18"/>
                <w:lang w:val="es-ES" w:eastAsia="es-CL"/>
              </w:rPr>
              <w:t>Libre inversión</w:t>
            </w:r>
          </w:p>
        </w:tc>
        <w:tc>
          <w:tcPr>
            <w:tcW w:w="1660" w:type="dxa"/>
            <w:tcBorders>
              <w:top w:val="dotted" w:sz="4" w:space="0" w:color="E6344B"/>
              <w:left w:val="nil"/>
              <w:bottom w:val="dotted" w:sz="4" w:space="0" w:color="E6344B"/>
              <w:right w:val="nil"/>
            </w:tcBorders>
            <w:shd w:val="clear" w:color="auto" w:fill="auto"/>
            <w:noWrap/>
            <w:vAlign w:val="center"/>
          </w:tcPr>
          <w:p w14:paraId="217B92FA" w14:textId="2FE38ABC" w:rsidR="00F7592B" w:rsidRPr="00047D51" w:rsidRDefault="00FB0CF3" w:rsidP="009C75F1">
            <w:pPr>
              <w:jc w:val="right"/>
              <w:rPr>
                <w:rFonts w:eastAsia="Times New Roman" w:cs="Calibri"/>
                <w:color w:val="333D6B"/>
                <w:sz w:val="18"/>
                <w:szCs w:val="18"/>
                <w:lang w:val="es-ES" w:eastAsia="es-CL"/>
              </w:rPr>
            </w:pPr>
            <w:r>
              <w:rPr>
                <w:rFonts w:eastAsia="Times New Roman" w:cs="Calibri"/>
                <w:color w:val="333D6B"/>
                <w:sz w:val="18"/>
                <w:szCs w:val="18"/>
                <w:lang w:val="es-ES" w:eastAsia="es-CL"/>
              </w:rPr>
              <w:t>1</w:t>
            </w:r>
            <w:r w:rsidR="004E4FCB" w:rsidRPr="00047D51">
              <w:rPr>
                <w:rFonts w:eastAsia="Times New Roman" w:cs="Calibri"/>
                <w:color w:val="333D6B"/>
                <w:sz w:val="18"/>
                <w:szCs w:val="18"/>
                <w:lang w:val="es-ES" w:eastAsia="es-CL"/>
              </w:rPr>
              <w:t>2</w:t>
            </w:r>
            <w:r w:rsidR="00047D51" w:rsidRPr="00047D51">
              <w:rPr>
                <w:rFonts w:eastAsia="Times New Roman" w:cs="Calibri"/>
                <w:color w:val="333D6B"/>
                <w:sz w:val="18"/>
                <w:szCs w:val="18"/>
                <w:lang w:val="es-ES" w:eastAsia="es-CL"/>
              </w:rPr>
              <w:t>,9</w:t>
            </w:r>
            <w:r>
              <w:rPr>
                <w:rFonts w:eastAsia="Times New Roman" w:cs="Calibri"/>
                <w:color w:val="333D6B"/>
                <w:sz w:val="18"/>
                <w:szCs w:val="18"/>
                <w:lang w:val="es-ES" w:eastAsia="es-CL"/>
              </w:rPr>
              <w:t>7</w:t>
            </w:r>
            <w:r w:rsidR="004E4FCB" w:rsidRPr="00047D51">
              <w:rPr>
                <w:rFonts w:eastAsia="Times New Roman" w:cs="Calibri"/>
                <w:color w:val="333D6B"/>
                <w:sz w:val="18"/>
                <w:szCs w:val="18"/>
                <w:lang w:val="es-ES" w:eastAsia="es-CL"/>
              </w:rPr>
              <w:t>%</w:t>
            </w:r>
          </w:p>
        </w:tc>
      </w:tr>
      <w:tr w:rsidR="00F7592B" w:rsidRPr="00311D1A" w14:paraId="59AF341E"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tcPr>
          <w:p w14:paraId="1962E872" w14:textId="4FF0BDCC" w:rsidR="00F7592B" w:rsidRPr="00047D51" w:rsidRDefault="00BE703F" w:rsidP="00A34D68">
            <w:pPr>
              <w:rPr>
                <w:rFonts w:eastAsia="Times New Roman" w:cs="Calibri"/>
                <w:color w:val="333D6B"/>
                <w:sz w:val="18"/>
                <w:szCs w:val="18"/>
                <w:lang w:val="es-ES" w:eastAsia="es-CL"/>
              </w:rPr>
            </w:pPr>
            <w:r w:rsidRPr="00047D51">
              <w:rPr>
                <w:rFonts w:eastAsia="Times New Roman" w:cs="Calibri"/>
                <w:color w:val="333D6B"/>
                <w:sz w:val="18"/>
                <w:szCs w:val="18"/>
                <w:lang w:val="es-ES" w:eastAsia="es-CL"/>
              </w:rPr>
              <w:t>Estructurados</w:t>
            </w:r>
          </w:p>
        </w:tc>
        <w:tc>
          <w:tcPr>
            <w:tcW w:w="1660" w:type="dxa"/>
            <w:tcBorders>
              <w:top w:val="dotted" w:sz="4" w:space="0" w:color="E6344B"/>
              <w:left w:val="nil"/>
              <w:bottom w:val="dotted" w:sz="4" w:space="0" w:color="E6344B"/>
              <w:right w:val="nil"/>
            </w:tcBorders>
            <w:shd w:val="clear" w:color="auto" w:fill="auto"/>
            <w:noWrap/>
            <w:vAlign w:val="center"/>
          </w:tcPr>
          <w:p w14:paraId="027C23ED" w14:textId="49E5D7CD" w:rsidR="00F7592B" w:rsidRPr="00047D51" w:rsidRDefault="00FB0CF3" w:rsidP="009C75F1">
            <w:pPr>
              <w:jc w:val="right"/>
              <w:rPr>
                <w:rFonts w:eastAsia="Times New Roman" w:cs="Calibri"/>
                <w:color w:val="333D6B"/>
                <w:sz w:val="18"/>
                <w:szCs w:val="18"/>
                <w:lang w:val="es-ES" w:eastAsia="es-CL"/>
              </w:rPr>
            </w:pPr>
            <w:r>
              <w:rPr>
                <w:rFonts w:eastAsia="Times New Roman" w:cs="Calibri"/>
                <w:color w:val="333D6B"/>
                <w:sz w:val="18"/>
                <w:szCs w:val="18"/>
                <w:lang w:val="es-ES" w:eastAsia="es-CL"/>
              </w:rPr>
              <w:t>1</w:t>
            </w:r>
            <w:r w:rsidR="004E4FCB" w:rsidRPr="00047D51">
              <w:rPr>
                <w:rFonts w:eastAsia="Times New Roman" w:cs="Calibri"/>
                <w:color w:val="333D6B"/>
                <w:sz w:val="18"/>
                <w:szCs w:val="18"/>
                <w:lang w:val="es-ES" w:eastAsia="es-CL"/>
              </w:rPr>
              <w:t>,</w:t>
            </w:r>
            <w:r>
              <w:rPr>
                <w:rFonts w:eastAsia="Times New Roman" w:cs="Calibri"/>
                <w:color w:val="333D6B"/>
                <w:sz w:val="18"/>
                <w:szCs w:val="18"/>
                <w:lang w:val="es-ES" w:eastAsia="es-CL"/>
              </w:rPr>
              <w:t>95</w:t>
            </w:r>
            <w:r w:rsidR="004E4FCB" w:rsidRPr="00047D51">
              <w:rPr>
                <w:rFonts w:eastAsia="Times New Roman" w:cs="Calibri"/>
                <w:color w:val="333D6B"/>
                <w:sz w:val="18"/>
                <w:szCs w:val="18"/>
                <w:lang w:val="es-ES" w:eastAsia="es-CL"/>
              </w:rPr>
              <w:t>%</w:t>
            </w:r>
          </w:p>
        </w:tc>
      </w:tr>
      <w:tr w:rsidR="00F7592B" w:rsidRPr="00311D1A" w14:paraId="4138C3FE" w14:textId="77777777" w:rsidTr="0075726C">
        <w:trPr>
          <w:trHeight w:val="283"/>
          <w:jc w:val="center"/>
        </w:trPr>
        <w:tc>
          <w:tcPr>
            <w:tcW w:w="3300" w:type="dxa"/>
            <w:tcBorders>
              <w:top w:val="dotted" w:sz="4" w:space="0" w:color="E6344B"/>
              <w:left w:val="nil"/>
              <w:bottom w:val="dotted" w:sz="4" w:space="0" w:color="E6344B"/>
              <w:right w:val="nil"/>
            </w:tcBorders>
            <w:shd w:val="clear" w:color="auto" w:fill="auto"/>
            <w:noWrap/>
            <w:vAlign w:val="center"/>
          </w:tcPr>
          <w:p w14:paraId="316F5A8F" w14:textId="3B540393" w:rsidR="00F7592B" w:rsidRPr="00047D51" w:rsidRDefault="0061251F" w:rsidP="00A34D68">
            <w:pPr>
              <w:rPr>
                <w:rFonts w:eastAsia="Times New Roman" w:cs="Calibri"/>
                <w:color w:val="333D6B"/>
                <w:sz w:val="18"/>
                <w:szCs w:val="18"/>
                <w:lang w:val="es-ES" w:eastAsia="es-CL"/>
              </w:rPr>
            </w:pPr>
            <w:r w:rsidRPr="00047D51">
              <w:rPr>
                <w:rFonts w:eastAsia="Times New Roman" w:cs="Calibri"/>
                <w:color w:val="333D6B"/>
                <w:sz w:val="18"/>
                <w:szCs w:val="18"/>
                <w:lang w:val="es-ES" w:eastAsia="es-CL"/>
              </w:rPr>
              <w:t>Inversionistas c</w:t>
            </w:r>
            <w:r w:rsidR="00BE703F" w:rsidRPr="00047D51">
              <w:rPr>
                <w:rFonts w:eastAsia="Times New Roman" w:cs="Calibri"/>
                <w:color w:val="333D6B"/>
                <w:sz w:val="18"/>
                <w:szCs w:val="18"/>
                <w:lang w:val="es-ES" w:eastAsia="es-CL"/>
              </w:rPr>
              <w:t>alificados</w:t>
            </w:r>
          </w:p>
        </w:tc>
        <w:tc>
          <w:tcPr>
            <w:tcW w:w="1660" w:type="dxa"/>
            <w:tcBorders>
              <w:top w:val="dotted" w:sz="4" w:space="0" w:color="E6344B"/>
              <w:left w:val="nil"/>
              <w:bottom w:val="dotted" w:sz="4" w:space="0" w:color="E6344B"/>
              <w:right w:val="nil"/>
            </w:tcBorders>
            <w:shd w:val="clear" w:color="auto" w:fill="auto"/>
            <w:noWrap/>
            <w:vAlign w:val="center"/>
          </w:tcPr>
          <w:p w14:paraId="17F1FCDD" w14:textId="3B22928F" w:rsidR="00F7592B" w:rsidRPr="00047D51" w:rsidRDefault="00274FC6" w:rsidP="009C75F1">
            <w:pPr>
              <w:jc w:val="right"/>
              <w:rPr>
                <w:rFonts w:eastAsia="Times New Roman" w:cs="Calibri"/>
                <w:color w:val="333D6B"/>
                <w:sz w:val="18"/>
                <w:szCs w:val="18"/>
                <w:lang w:val="es-ES" w:eastAsia="es-CL"/>
              </w:rPr>
            </w:pPr>
            <w:r w:rsidRPr="00047D51">
              <w:rPr>
                <w:rFonts w:eastAsia="Times New Roman" w:cs="Calibri"/>
                <w:color w:val="333D6B"/>
                <w:sz w:val="18"/>
                <w:szCs w:val="18"/>
                <w:lang w:val="es-ES" w:eastAsia="es-CL"/>
              </w:rPr>
              <w:t>0,</w:t>
            </w:r>
            <w:r w:rsidR="00FB0CF3">
              <w:rPr>
                <w:rFonts w:eastAsia="Times New Roman" w:cs="Calibri"/>
                <w:color w:val="333D6B"/>
                <w:sz w:val="18"/>
                <w:szCs w:val="18"/>
                <w:lang w:val="es-ES" w:eastAsia="es-CL"/>
              </w:rPr>
              <w:t>31</w:t>
            </w:r>
            <w:r w:rsidRPr="00047D51">
              <w:rPr>
                <w:rFonts w:eastAsia="Times New Roman" w:cs="Calibri"/>
                <w:color w:val="333D6B"/>
                <w:sz w:val="18"/>
                <w:szCs w:val="18"/>
                <w:lang w:val="es-ES" w:eastAsia="es-CL"/>
              </w:rPr>
              <w:t>%</w:t>
            </w:r>
          </w:p>
        </w:tc>
      </w:tr>
    </w:tbl>
    <w:p w14:paraId="0A45E68A" w14:textId="77777777" w:rsidR="008D444A" w:rsidRDefault="008D444A" w:rsidP="00763C07">
      <w:pPr>
        <w:pStyle w:val="Ttulo"/>
      </w:pPr>
      <w:r>
        <w:br w:type="page"/>
      </w:r>
    </w:p>
    <w:p w14:paraId="3EEA5586" w14:textId="5E76AFDF" w:rsidR="00E457B4" w:rsidRPr="00CB2D4B" w:rsidRDefault="00E457B4" w:rsidP="00763C07">
      <w:pPr>
        <w:pStyle w:val="Ttulo"/>
      </w:pPr>
      <w:r w:rsidRPr="00CB2D4B">
        <w:lastRenderedPageBreak/>
        <w:t>Estructura organizacional</w:t>
      </w:r>
    </w:p>
    <w:p w14:paraId="61A5E35A" w14:textId="6030B40A" w:rsidR="005E53BF" w:rsidRPr="00CB2D4B" w:rsidRDefault="005E53BF" w:rsidP="00761429">
      <w:pPr>
        <w:spacing w:after="120"/>
        <w:jc w:val="both"/>
      </w:pPr>
      <w:r w:rsidRPr="00CB2D4B">
        <w:t xml:space="preserve">El directorio de la administradora está compuesto por </w:t>
      </w:r>
      <w:r w:rsidR="00E41561">
        <w:t>cinco</w:t>
      </w:r>
      <w:r w:rsidRPr="00CB2D4B">
        <w:t xml:space="preserve"> miembr</w:t>
      </w:r>
      <w:r w:rsidR="00747B63">
        <w:t>os</w:t>
      </w:r>
      <w:r w:rsidRPr="00CB2D4B">
        <w:t xml:space="preserve">, quienes sesionan mensualmente (dejando formalizado en actas las resoluciones acordadas en las juntas directivas) y que, en términos generales, se caracterizan por mostrar una elevada experiencia en la gestión de activos, aunque preferentemente de carácter financiero. Bajo este contexto, se destaca que dos de sus miembros, también forman parte del directorio del Banco de Chile, permitiendo con ello un importante traspaso de conocimientos y sinergias operativas entre estas sociedades relacionadas, así como un alineamiento entre los objetivos de ambas entidades. </w:t>
      </w:r>
      <w:r w:rsidR="00BC0683" w:rsidRPr="00CB2D4B">
        <w:t>El directorio de la compañía se presenta en la</w:t>
      </w:r>
      <w:r w:rsidR="00107349" w:rsidRPr="00CB2D4B">
        <w:t xml:space="preserve"> </w:t>
      </w:r>
      <w:r w:rsidR="00107349" w:rsidRPr="00CB2D4B">
        <w:fldChar w:fldCharType="begin"/>
      </w:r>
      <w:r w:rsidR="00107349" w:rsidRPr="00CB2D4B">
        <w:instrText xml:space="preserve"> REF _Ref76458770 \h </w:instrText>
      </w:r>
      <w:r w:rsidR="00A9657B" w:rsidRPr="00CB2D4B">
        <w:instrText xml:space="preserve"> \* MERGEFORMAT </w:instrText>
      </w:r>
      <w:r w:rsidR="00107349" w:rsidRPr="00CB2D4B">
        <w:fldChar w:fldCharType="separate"/>
      </w:r>
      <w:r w:rsidR="00BA37AC" w:rsidRPr="00CB2D4B">
        <w:t xml:space="preserve">Tabla </w:t>
      </w:r>
      <w:r w:rsidR="00BA37AC">
        <w:rPr>
          <w:noProof/>
        </w:rPr>
        <w:t>2</w:t>
      </w:r>
      <w:r w:rsidR="00107349" w:rsidRPr="00CB2D4B">
        <w:fldChar w:fldCharType="end"/>
      </w:r>
      <w:r w:rsidR="00BC0683" w:rsidRPr="00CB2D4B">
        <w:t>.</w:t>
      </w:r>
    </w:p>
    <w:p w14:paraId="336C4357" w14:textId="77777777" w:rsidR="005E53BF" w:rsidRPr="00CB2D4B" w:rsidRDefault="005E53BF" w:rsidP="00761429">
      <w:pPr>
        <w:spacing w:after="120"/>
        <w:jc w:val="both"/>
      </w:pPr>
      <w:r w:rsidRPr="00CB2D4B">
        <w:t>Dentro de las principales funciones del directorio, recae la responsabilidad de evaluar y controlar el cumplimiento de todas las estrategias establecidas para los fondos administrados, así como la decisión de aceptar, condicionar o rechazar las inversiones a realizar.</w:t>
      </w:r>
    </w:p>
    <w:p w14:paraId="0AF017BA" w14:textId="78FD95E4" w:rsidR="00176966" w:rsidRDefault="005E53BF" w:rsidP="00761429">
      <w:pPr>
        <w:spacing w:after="120"/>
        <w:jc w:val="both"/>
      </w:pPr>
      <w:r w:rsidRPr="00CB2D4B">
        <w:t>Su estructura administrativa, en tanto, se considera robusta y adecuadamente formalizada, con una disponibilidad de recursos que responde correctamente a las necesidades de sus negocios, permitiendo sustentar el normal desempeño de sus funciones.</w:t>
      </w:r>
    </w:p>
    <w:p w14:paraId="4B4B5DFE" w14:textId="4BA2C06B" w:rsidR="00176966" w:rsidRPr="00CB2D4B" w:rsidRDefault="00176966" w:rsidP="00176966">
      <w:pPr>
        <w:pStyle w:val="Descripcin"/>
        <w:keepNext/>
      </w:pPr>
      <w:bookmarkStart w:id="1" w:name="_Ref76458770"/>
      <w:r w:rsidRPr="00CB2D4B">
        <w:t xml:space="preserve">Tabla </w:t>
      </w:r>
      <w:r w:rsidRPr="00CB2D4B">
        <w:fldChar w:fldCharType="begin"/>
      </w:r>
      <w:r w:rsidRPr="00CB2D4B">
        <w:instrText>SEQ Tabla \* ARABIC</w:instrText>
      </w:r>
      <w:r w:rsidRPr="00CB2D4B">
        <w:fldChar w:fldCharType="separate"/>
      </w:r>
      <w:r w:rsidR="00BA37AC">
        <w:rPr>
          <w:noProof/>
        </w:rPr>
        <w:t>2</w:t>
      </w:r>
      <w:r w:rsidRPr="00CB2D4B">
        <w:fldChar w:fldCharType="end"/>
      </w:r>
      <w:bookmarkEnd w:id="1"/>
      <w:r w:rsidRPr="00CB2D4B">
        <w:t xml:space="preserve">: Directorio de </w:t>
      </w:r>
      <w:r w:rsidR="00EE1CBF" w:rsidRPr="00CB2D4B">
        <w:t>Banchile</w:t>
      </w:r>
      <w:r w:rsidRPr="00CB2D4B">
        <w:t xml:space="preserve"> AGF</w:t>
      </w:r>
    </w:p>
    <w:tbl>
      <w:tblPr>
        <w:tblW w:w="6600" w:type="dxa"/>
        <w:jc w:val="center"/>
        <w:tblCellMar>
          <w:left w:w="70" w:type="dxa"/>
          <w:right w:w="70" w:type="dxa"/>
        </w:tblCellMar>
        <w:tblLook w:val="04A0" w:firstRow="1" w:lastRow="0" w:firstColumn="1" w:lastColumn="0" w:noHBand="0" w:noVBand="1"/>
      </w:tblPr>
      <w:tblGrid>
        <w:gridCol w:w="3300"/>
        <w:gridCol w:w="3300"/>
      </w:tblGrid>
      <w:tr w:rsidR="00843368" w:rsidRPr="00CB2D4B" w14:paraId="16C4E60D" w14:textId="77777777" w:rsidTr="00C97CE9">
        <w:trPr>
          <w:trHeight w:val="283"/>
          <w:jc w:val="center"/>
        </w:trPr>
        <w:tc>
          <w:tcPr>
            <w:tcW w:w="3300" w:type="dxa"/>
            <w:tcBorders>
              <w:top w:val="nil"/>
              <w:left w:val="nil"/>
              <w:bottom w:val="nil"/>
              <w:right w:val="nil"/>
            </w:tcBorders>
            <w:shd w:val="clear" w:color="000000" w:fill="BB1823"/>
            <w:noWrap/>
            <w:vAlign w:val="center"/>
            <w:hideMark/>
          </w:tcPr>
          <w:p w14:paraId="5F0C883E" w14:textId="77777777" w:rsidR="00843368" w:rsidRPr="00CB2D4B" w:rsidRDefault="00843368" w:rsidP="00843368">
            <w:pPr>
              <w:jc w:val="center"/>
              <w:rPr>
                <w:rFonts w:eastAsia="Times New Roman" w:cs="Calibri"/>
                <w:b/>
                <w:bCs/>
                <w:color w:val="FFFFFF"/>
                <w:sz w:val="18"/>
                <w:szCs w:val="18"/>
                <w:lang w:eastAsia="es-CL"/>
              </w:rPr>
            </w:pPr>
            <w:r w:rsidRPr="00CB2D4B">
              <w:rPr>
                <w:rFonts w:eastAsia="Times New Roman" w:cs="Calibri"/>
                <w:b/>
                <w:bCs/>
                <w:color w:val="FFFFFF"/>
                <w:sz w:val="18"/>
                <w:szCs w:val="18"/>
                <w:lang w:eastAsia="es-CL"/>
              </w:rPr>
              <w:t>Nombre</w:t>
            </w:r>
          </w:p>
        </w:tc>
        <w:tc>
          <w:tcPr>
            <w:tcW w:w="3300" w:type="dxa"/>
            <w:tcBorders>
              <w:top w:val="nil"/>
              <w:left w:val="nil"/>
              <w:bottom w:val="nil"/>
              <w:right w:val="nil"/>
            </w:tcBorders>
            <w:shd w:val="clear" w:color="000000" w:fill="BB1823"/>
            <w:noWrap/>
            <w:vAlign w:val="center"/>
            <w:hideMark/>
          </w:tcPr>
          <w:p w14:paraId="7ED399EC" w14:textId="77777777" w:rsidR="00843368" w:rsidRPr="00CB2D4B" w:rsidRDefault="00843368" w:rsidP="00843368">
            <w:pPr>
              <w:jc w:val="center"/>
              <w:rPr>
                <w:rFonts w:eastAsia="Times New Roman" w:cs="Calibri"/>
                <w:b/>
                <w:bCs/>
                <w:color w:val="FFFFFF"/>
                <w:sz w:val="18"/>
                <w:szCs w:val="18"/>
                <w:lang w:eastAsia="es-CL"/>
              </w:rPr>
            </w:pPr>
            <w:r w:rsidRPr="00CB2D4B">
              <w:rPr>
                <w:rFonts w:eastAsia="Times New Roman" w:cs="Calibri"/>
                <w:b/>
                <w:bCs/>
                <w:color w:val="FFFFFF"/>
                <w:sz w:val="18"/>
                <w:szCs w:val="18"/>
                <w:lang w:eastAsia="es-CL"/>
              </w:rPr>
              <w:t>Cargo</w:t>
            </w:r>
          </w:p>
        </w:tc>
      </w:tr>
      <w:tr w:rsidR="003024CB" w:rsidRPr="00CB2D4B" w14:paraId="0A6D2314" w14:textId="77777777" w:rsidTr="003024CB">
        <w:trPr>
          <w:trHeight w:val="283"/>
          <w:jc w:val="center"/>
        </w:trPr>
        <w:tc>
          <w:tcPr>
            <w:tcW w:w="3300" w:type="dxa"/>
            <w:tcBorders>
              <w:top w:val="nil"/>
              <w:left w:val="nil"/>
              <w:bottom w:val="nil"/>
              <w:right w:val="nil"/>
            </w:tcBorders>
            <w:shd w:val="clear" w:color="auto" w:fill="auto"/>
            <w:noWrap/>
            <w:vAlign w:val="center"/>
          </w:tcPr>
          <w:p w14:paraId="66B5C569" w14:textId="0AF84AA7" w:rsidR="003024CB" w:rsidRPr="00CB2D4B" w:rsidRDefault="003024CB" w:rsidP="003024CB">
            <w:pPr>
              <w:rPr>
                <w:rFonts w:eastAsia="Times New Roman" w:cs="Calibri"/>
                <w:b/>
                <w:bCs/>
                <w:color w:val="FFFFFF"/>
                <w:sz w:val="18"/>
                <w:szCs w:val="18"/>
                <w:lang w:eastAsia="es-CL"/>
              </w:rPr>
            </w:pPr>
            <w:r w:rsidRPr="00CB2D4B">
              <w:rPr>
                <w:rFonts w:eastAsia="Times New Roman" w:cs="Calibri"/>
                <w:color w:val="333D6B"/>
                <w:sz w:val="18"/>
                <w:szCs w:val="18"/>
                <w:lang w:eastAsia="es-CL"/>
              </w:rPr>
              <w:t xml:space="preserve">Pablo </w:t>
            </w:r>
            <w:proofErr w:type="spellStart"/>
            <w:r w:rsidRPr="00CB2D4B">
              <w:rPr>
                <w:rFonts w:eastAsia="Times New Roman" w:cs="Calibri"/>
                <w:color w:val="333D6B"/>
                <w:sz w:val="18"/>
                <w:szCs w:val="18"/>
                <w:lang w:eastAsia="es-CL"/>
              </w:rPr>
              <w:t>Granifo</w:t>
            </w:r>
            <w:proofErr w:type="spellEnd"/>
            <w:r w:rsidRPr="00CB2D4B">
              <w:rPr>
                <w:rFonts w:eastAsia="Times New Roman" w:cs="Calibri"/>
                <w:color w:val="333D6B"/>
                <w:sz w:val="18"/>
                <w:szCs w:val="18"/>
                <w:lang w:eastAsia="es-CL"/>
              </w:rPr>
              <w:t xml:space="preserve"> Lavín</w:t>
            </w:r>
          </w:p>
        </w:tc>
        <w:tc>
          <w:tcPr>
            <w:tcW w:w="3300" w:type="dxa"/>
            <w:tcBorders>
              <w:top w:val="nil"/>
              <w:left w:val="nil"/>
              <w:bottom w:val="nil"/>
              <w:right w:val="nil"/>
            </w:tcBorders>
            <w:shd w:val="clear" w:color="auto" w:fill="auto"/>
            <w:noWrap/>
            <w:vAlign w:val="center"/>
          </w:tcPr>
          <w:p w14:paraId="66634C25" w14:textId="01BC84F2" w:rsidR="003024CB" w:rsidRPr="00562C9B" w:rsidRDefault="00562C9B" w:rsidP="00843368">
            <w:pPr>
              <w:jc w:val="center"/>
              <w:rPr>
                <w:rFonts w:eastAsia="Times New Roman" w:cs="Calibri"/>
                <w:color w:val="333D6B"/>
                <w:sz w:val="18"/>
                <w:szCs w:val="18"/>
                <w:lang w:eastAsia="es-CL"/>
              </w:rPr>
            </w:pPr>
            <w:r w:rsidRPr="00562C9B">
              <w:rPr>
                <w:rFonts w:eastAsia="Times New Roman" w:cs="Calibri"/>
                <w:color w:val="333D6B"/>
                <w:sz w:val="18"/>
                <w:szCs w:val="18"/>
                <w:lang w:eastAsia="es-CL"/>
              </w:rPr>
              <w:t>Presidente</w:t>
            </w:r>
          </w:p>
        </w:tc>
      </w:tr>
      <w:tr w:rsidR="00843368" w:rsidRPr="00CB2D4B" w14:paraId="65DD53E9" w14:textId="77777777" w:rsidTr="00C97CE9">
        <w:trPr>
          <w:trHeight w:val="283"/>
          <w:jc w:val="center"/>
        </w:trPr>
        <w:tc>
          <w:tcPr>
            <w:tcW w:w="3300" w:type="dxa"/>
            <w:tcBorders>
              <w:top w:val="dotted" w:sz="4" w:space="0" w:color="E6344B"/>
              <w:left w:val="nil"/>
              <w:bottom w:val="dotted" w:sz="4" w:space="0" w:color="E6344B"/>
              <w:right w:val="nil"/>
            </w:tcBorders>
            <w:shd w:val="clear" w:color="auto" w:fill="auto"/>
            <w:noWrap/>
            <w:vAlign w:val="center"/>
            <w:hideMark/>
          </w:tcPr>
          <w:p w14:paraId="5A18D172" w14:textId="50C5D2C0" w:rsidR="00843368" w:rsidRPr="00CB2D4B" w:rsidRDefault="002D263F" w:rsidP="00843368">
            <w:pPr>
              <w:rPr>
                <w:rFonts w:eastAsia="Times New Roman" w:cs="Calibri"/>
                <w:color w:val="333D6B"/>
                <w:sz w:val="18"/>
                <w:szCs w:val="18"/>
                <w:lang w:eastAsia="es-CL"/>
              </w:rPr>
            </w:pPr>
            <w:r w:rsidRPr="00CB2D4B">
              <w:rPr>
                <w:rFonts w:eastAsia="Times New Roman" w:cs="Calibri"/>
                <w:color w:val="333D6B"/>
                <w:sz w:val="18"/>
                <w:szCs w:val="18"/>
                <w:lang w:eastAsia="es-CL"/>
              </w:rPr>
              <w:t xml:space="preserve">Andrés </w:t>
            </w:r>
            <w:r w:rsidR="00E41561">
              <w:rPr>
                <w:rFonts w:eastAsia="Times New Roman" w:cs="Calibri"/>
                <w:color w:val="333D6B"/>
                <w:sz w:val="18"/>
                <w:szCs w:val="18"/>
                <w:lang w:eastAsia="es-CL"/>
              </w:rPr>
              <w:t>Lagos Vicuña</w:t>
            </w:r>
          </w:p>
        </w:tc>
        <w:tc>
          <w:tcPr>
            <w:tcW w:w="3300" w:type="dxa"/>
            <w:tcBorders>
              <w:top w:val="dotted" w:sz="4" w:space="0" w:color="E6344B"/>
              <w:left w:val="nil"/>
              <w:bottom w:val="dotted" w:sz="4" w:space="0" w:color="E6344B"/>
              <w:right w:val="nil"/>
            </w:tcBorders>
            <w:shd w:val="clear" w:color="auto" w:fill="auto"/>
            <w:noWrap/>
            <w:vAlign w:val="center"/>
            <w:hideMark/>
          </w:tcPr>
          <w:p w14:paraId="0527E087" w14:textId="28F80C1B" w:rsidR="00843368" w:rsidRPr="00CB2D4B" w:rsidRDefault="00E34EF0" w:rsidP="00843368">
            <w:pPr>
              <w:jc w:val="center"/>
              <w:rPr>
                <w:rFonts w:eastAsia="Times New Roman" w:cs="Calibri"/>
                <w:color w:val="333D6B"/>
                <w:sz w:val="18"/>
                <w:szCs w:val="18"/>
                <w:lang w:eastAsia="es-CL"/>
              </w:rPr>
            </w:pPr>
            <w:r w:rsidRPr="00CB2D4B">
              <w:rPr>
                <w:rFonts w:eastAsia="Times New Roman" w:cs="Calibri"/>
                <w:color w:val="333D6B"/>
                <w:sz w:val="18"/>
                <w:szCs w:val="18"/>
                <w:lang w:eastAsia="es-CL"/>
              </w:rPr>
              <w:t>Director</w:t>
            </w:r>
          </w:p>
        </w:tc>
      </w:tr>
      <w:tr w:rsidR="00843368" w:rsidRPr="00CB2D4B" w14:paraId="19ED3AE0" w14:textId="77777777" w:rsidTr="00C97CE9">
        <w:trPr>
          <w:trHeight w:val="283"/>
          <w:jc w:val="center"/>
        </w:trPr>
        <w:tc>
          <w:tcPr>
            <w:tcW w:w="3300" w:type="dxa"/>
            <w:tcBorders>
              <w:top w:val="nil"/>
              <w:left w:val="nil"/>
              <w:bottom w:val="nil"/>
              <w:right w:val="nil"/>
            </w:tcBorders>
            <w:shd w:val="clear" w:color="auto" w:fill="auto"/>
            <w:noWrap/>
            <w:vAlign w:val="center"/>
            <w:hideMark/>
          </w:tcPr>
          <w:p w14:paraId="76E90CAC" w14:textId="4E3B335D" w:rsidR="00843368" w:rsidRPr="00CB2D4B" w:rsidRDefault="00562C9B" w:rsidP="00843368">
            <w:pPr>
              <w:rPr>
                <w:rFonts w:eastAsia="Times New Roman" w:cs="Calibri"/>
                <w:color w:val="333D6B"/>
                <w:sz w:val="18"/>
                <w:szCs w:val="18"/>
                <w:lang w:eastAsia="es-CL"/>
              </w:rPr>
            </w:pPr>
            <w:r w:rsidRPr="00CB2D4B">
              <w:rPr>
                <w:rFonts w:eastAsia="Times New Roman" w:cs="Calibri"/>
                <w:color w:val="333D6B"/>
                <w:sz w:val="18"/>
                <w:szCs w:val="18"/>
                <w:lang w:eastAsia="es-CL"/>
              </w:rPr>
              <w:t xml:space="preserve">Andrés </w:t>
            </w:r>
            <w:proofErr w:type="spellStart"/>
            <w:r w:rsidRPr="00CB2D4B">
              <w:rPr>
                <w:rFonts w:eastAsia="Times New Roman" w:cs="Calibri"/>
                <w:color w:val="333D6B"/>
                <w:sz w:val="18"/>
                <w:szCs w:val="18"/>
                <w:lang w:eastAsia="es-CL"/>
              </w:rPr>
              <w:t>Ergas</w:t>
            </w:r>
            <w:proofErr w:type="spellEnd"/>
            <w:r w:rsidRPr="00CB2D4B">
              <w:rPr>
                <w:rFonts w:eastAsia="Times New Roman" w:cs="Calibri"/>
                <w:color w:val="333D6B"/>
                <w:sz w:val="18"/>
                <w:szCs w:val="18"/>
                <w:lang w:eastAsia="es-CL"/>
              </w:rPr>
              <w:t xml:space="preserve"> </w:t>
            </w:r>
            <w:proofErr w:type="spellStart"/>
            <w:r w:rsidRPr="00CB2D4B">
              <w:rPr>
                <w:rFonts w:eastAsia="Times New Roman" w:cs="Calibri"/>
                <w:color w:val="333D6B"/>
                <w:sz w:val="18"/>
                <w:szCs w:val="18"/>
                <w:lang w:eastAsia="es-CL"/>
              </w:rPr>
              <w:t>Heymann</w:t>
            </w:r>
            <w:proofErr w:type="spellEnd"/>
          </w:p>
        </w:tc>
        <w:tc>
          <w:tcPr>
            <w:tcW w:w="3300" w:type="dxa"/>
            <w:tcBorders>
              <w:top w:val="nil"/>
              <w:left w:val="nil"/>
              <w:bottom w:val="nil"/>
              <w:right w:val="nil"/>
            </w:tcBorders>
            <w:shd w:val="clear" w:color="auto" w:fill="auto"/>
            <w:noWrap/>
            <w:vAlign w:val="center"/>
            <w:hideMark/>
          </w:tcPr>
          <w:p w14:paraId="65982C6D" w14:textId="77777777" w:rsidR="00843368" w:rsidRPr="00CB2D4B" w:rsidRDefault="00843368" w:rsidP="00843368">
            <w:pPr>
              <w:jc w:val="center"/>
              <w:rPr>
                <w:rFonts w:eastAsia="Times New Roman" w:cs="Calibri"/>
                <w:color w:val="333D6B"/>
                <w:sz w:val="18"/>
                <w:szCs w:val="18"/>
                <w:lang w:eastAsia="es-CL"/>
              </w:rPr>
            </w:pPr>
            <w:r w:rsidRPr="00CB2D4B">
              <w:rPr>
                <w:rFonts w:eastAsia="Times New Roman" w:cs="Calibri"/>
                <w:color w:val="333D6B"/>
                <w:sz w:val="18"/>
                <w:szCs w:val="18"/>
                <w:lang w:eastAsia="es-CL"/>
              </w:rPr>
              <w:t>Director</w:t>
            </w:r>
          </w:p>
        </w:tc>
      </w:tr>
      <w:tr w:rsidR="00843368" w:rsidRPr="00CB2D4B" w14:paraId="56771E8E" w14:textId="77777777" w:rsidTr="00C97CE9">
        <w:trPr>
          <w:trHeight w:val="283"/>
          <w:jc w:val="center"/>
        </w:trPr>
        <w:tc>
          <w:tcPr>
            <w:tcW w:w="3300" w:type="dxa"/>
            <w:tcBorders>
              <w:top w:val="dotted" w:sz="4" w:space="0" w:color="E6344B"/>
              <w:left w:val="nil"/>
              <w:bottom w:val="dotted" w:sz="4" w:space="0" w:color="E6344B"/>
              <w:right w:val="nil"/>
            </w:tcBorders>
            <w:shd w:val="clear" w:color="auto" w:fill="auto"/>
            <w:noWrap/>
            <w:vAlign w:val="center"/>
            <w:hideMark/>
          </w:tcPr>
          <w:p w14:paraId="3CF85EB8" w14:textId="0413FDD2" w:rsidR="00843368" w:rsidRPr="00CB2D4B" w:rsidRDefault="002D263F" w:rsidP="00843368">
            <w:pPr>
              <w:rPr>
                <w:rFonts w:eastAsia="Times New Roman" w:cs="Calibri"/>
                <w:color w:val="333D6B"/>
                <w:sz w:val="18"/>
                <w:szCs w:val="18"/>
                <w:lang w:eastAsia="es-CL"/>
              </w:rPr>
            </w:pPr>
            <w:r w:rsidRPr="00CB2D4B">
              <w:rPr>
                <w:rFonts w:eastAsia="Times New Roman" w:cs="Calibri"/>
                <w:color w:val="333D6B"/>
                <w:sz w:val="18"/>
                <w:szCs w:val="18"/>
                <w:lang w:eastAsia="es-CL"/>
              </w:rPr>
              <w:t>José Luis Vizcarra Villalobos</w:t>
            </w:r>
          </w:p>
        </w:tc>
        <w:tc>
          <w:tcPr>
            <w:tcW w:w="3300" w:type="dxa"/>
            <w:tcBorders>
              <w:top w:val="dotted" w:sz="4" w:space="0" w:color="E6344B"/>
              <w:left w:val="nil"/>
              <w:bottom w:val="dotted" w:sz="4" w:space="0" w:color="E6344B"/>
              <w:right w:val="nil"/>
            </w:tcBorders>
            <w:shd w:val="clear" w:color="auto" w:fill="auto"/>
            <w:noWrap/>
            <w:vAlign w:val="center"/>
            <w:hideMark/>
          </w:tcPr>
          <w:p w14:paraId="1F568D4A" w14:textId="77777777" w:rsidR="00843368" w:rsidRPr="00CB2D4B" w:rsidRDefault="00843368" w:rsidP="00843368">
            <w:pPr>
              <w:jc w:val="center"/>
              <w:rPr>
                <w:rFonts w:eastAsia="Times New Roman" w:cs="Calibri"/>
                <w:color w:val="333D6B"/>
                <w:sz w:val="18"/>
                <w:szCs w:val="18"/>
                <w:lang w:eastAsia="es-CL"/>
              </w:rPr>
            </w:pPr>
            <w:r w:rsidRPr="00CB2D4B">
              <w:rPr>
                <w:rFonts w:eastAsia="Times New Roman" w:cs="Calibri"/>
                <w:color w:val="333D6B"/>
                <w:sz w:val="18"/>
                <w:szCs w:val="18"/>
                <w:lang w:eastAsia="es-CL"/>
              </w:rPr>
              <w:t>Director</w:t>
            </w:r>
          </w:p>
        </w:tc>
      </w:tr>
      <w:tr w:rsidR="00843368" w:rsidRPr="00CB2D4B" w14:paraId="4329E600" w14:textId="77777777" w:rsidTr="00C97CE9">
        <w:trPr>
          <w:trHeight w:val="283"/>
          <w:jc w:val="center"/>
        </w:trPr>
        <w:tc>
          <w:tcPr>
            <w:tcW w:w="3300" w:type="dxa"/>
            <w:tcBorders>
              <w:top w:val="nil"/>
              <w:left w:val="nil"/>
              <w:bottom w:val="dotted" w:sz="4" w:space="0" w:color="E6344B"/>
              <w:right w:val="nil"/>
            </w:tcBorders>
            <w:shd w:val="clear" w:color="auto" w:fill="auto"/>
            <w:noWrap/>
            <w:vAlign w:val="center"/>
            <w:hideMark/>
          </w:tcPr>
          <w:p w14:paraId="32DC2326" w14:textId="3D06C909" w:rsidR="00843368" w:rsidRPr="00CB2D4B" w:rsidRDefault="002D263F" w:rsidP="00843368">
            <w:pPr>
              <w:rPr>
                <w:rFonts w:eastAsia="Times New Roman" w:cs="Calibri"/>
                <w:color w:val="333D6B"/>
                <w:sz w:val="18"/>
                <w:szCs w:val="18"/>
                <w:lang w:eastAsia="es-CL"/>
              </w:rPr>
            </w:pPr>
            <w:r w:rsidRPr="00CB2D4B">
              <w:rPr>
                <w:rFonts w:eastAsia="Times New Roman" w:cs="Calibri"/>
                <w:color w:val="333D6B"/>
                <w:sz w:val="18"/>
                <w:szCs w:val="18"/>
                <w:lang w:eastAsia="es-CL"/>
              </w:rPr>
              <w:t xml:space="preserve">Eduardo </w:t>
            </w:r>
            <w:proofErr w:type="spellStart"/>
            <w:r w:rsidRPr="00CB2D4B">
              <w:rPr>
                <w:rFonts w:eastAsia="Times New Roman" w:cs="Calibri"/>
                <w:color w:val="333D6B"/>
                <w:sz w:val="18"/>
                <w:szCs w:val="18"/>
                <w:lang w:eastAsia="es-CL"/>
              </w:rPr>
              <w:t>Ebensperger</w:t>
            </w:r>
            <w:proofErr w:type="spellEnd"/>
            <w:r w:rsidRPr="00CB2D4B">
              <w:rPr>
                <w:rFonts w:eastAsia="Times New Roman" w:cs="Calibri"/>
                <w:color w:val="333D6B"/>
                <w:sz w:val="18"/>
                <w:szCs w:val="18"/>
                <w:lang w:eastAsia="es-CL"/>
              </w:rPr>
              <w:t xml:space="preserve"> Orrego</w:t>
            </w:r>
          </w:p>
        </w:tc>
        <w:tc>
          <w:tcPr>
            <w:tcW w:w="3300" w:type="dxa"/>
            <w:tcBorders>
              <w:top w:val="nil"/>
              <w:left w:val="nil"/>
              <w:bottom w:val="dotted" w:sz="4" w:space="0" w:color="E6344B"/>
              <w:right w:val="nil"/>
            </w:tcBorders>
            <w:shd w:val="clear" w:color="auto" w:fill="auto"/>
            <w:noWrap/>
            <w:vAlign w:val="center"/>
            <w:hideMark/>
          </w:tcPr>
          <w:p w14:paraId="423D426B" w14:textId="77777777" w:rsidR="00843368" w:rsidRPr="00CB2D4B" w:rsidRDefault="00843368" w:rsidP="00843368">
            <w:pPr>
              <w:jc w:val="center"/>
              <w:rPr>
                <w:rFonts w:eastAsia="Times New Roman" w:cs="Calibri"/>
                <w:color w:val="333D6B"/>
                <w:sz w:val="18"/>
                <w:szCs w:val="18"/>
                <w:lang w:eastAsia="es-CL"/>
              </w:rPr>
            </w:pPr>
            <w:r w:rsidRPr="00CB2D4B">
              <w:rPr>
                <w:rFonts w:eastAsia="Times New Roman" w:cs="Calibri"/>
                <w:color w:val="333D6B"/>
                <w:sz w:val="18"/>
                <w:szCs w:val="18"/>
                <w:lang w:eastAsia="es-CL"/>
              </w:rPr>
              <w:t>Director</w:t>
            </w:r>
          </w:p>
        </w:tc>
      </w:tr>
    </w:tbl>
    <w:p w14:paraId="08972200" w14:textId="77777777" w:rsidR="008D444A" w:rsidRPr="008D444A" w:rsidRDefault="008D444A" w:rsidP="00EA5E3B">
      <w:pPr>
        <w:pStyle w:val="Ttulo1"/>
        <w:rPr>
          <w:rFonts w:eastAsiaTheme="minorHAnsi" w:cstheme="minorBidi"/>
          <w:b w:val="0"/>
          <w:sz w:val="21"/>
          <w:szCs w:val="24"/>
        </w:rPr>
      </w:pPr>
    </w:p>
    <w:p w14:paraId="38F53DA6" w14:textId="41482A9A" w:rsidR="00EA5E3B" w:rsidRPr="007F1484" w:rsidRDefault="00EA5E3B" w:rsidP="00EA5E3B">
      <w:pPr>
        <w:pStyle w:val="Ttulo1"/>
        <w:rPr>
          <w:lang w:val="es-ES"/>
        </w:rPr>
      </w:pPr>
      <w:r w:rsidRPr="007F1484">
        <w:rPr>
          <w:lang w:val="es-ES"/>
        </w:rPr>
        <w:t>Fondo y cuotas del fondo</w:t>
      </w:r>
    </w:p>
    <w:p w14:paraId="334AD9B4" w14:textId="3448A418" w:rsidR="00EA5E3B" w:rsidRPr="007F1484" w:rsidRDefault="00EA5E3B" w:rsidP="00EA5E3B">
      <w:pPr>
        <w:pStyle w:val="Ttulo"/>
      </w:pPr>
      <w:r w:rsidRPr="007F1484">
        <w:t>D</w:t>
      </w:r>
      <w:r w:rsidR="00C07E95" w:rsidRPr="007F1484">
        <w:t xml:space="preserve">e la </w:t>
      </w:r>
      <w:r w:rsidR="008D444A">
        <w:t>A</w:t>
      </w:r>
      <w:r w:rsidRPr="007F1484">
        <w:t>dministración del fondo</w:t>
      </w:r>
    </w:p>
    <w:p w14:paraId="5E8D4AF5" w14:textId="7C88A26D" w:rsidR="00F01162" w:rsidRPr="007F1484" w:rsidRDefault="00F01162" w:rsidP="00F01162">
      <w:pPr>
        <w:spacing w:after="120"/>
        <w:jc w:val="both"/>
        <w:rPr>
          <w:lang w:val="es-ES"/>
        </w:rPr>
      </w:pPr>
      <w:r w:rsidRPr="007F1484">
        <w:rPr>
          <w:lang w:val="es-ES"/>
        </w:rPr>
        <w:t xml:space="preserve">La estructura de administración quedó definida al momento de la constitución del fondo, considerando su naturaleza y clase de activos gestionados, teniendo un responsable de la administración que está sometido a los mecanismos de control de la sociedad administradora. </w:t>
      </w:r>
    </w:p>
    <w:p w14:paraId="6D818D5D" w14:textId="77777777" w:rsidR="00F01162" w:rsidRPr="007F1484" w:rsidRDefault="00F01162" w:rsidP="00F01162">
      <w:pPr>
        <w:spacing w:after="120"/>
        <w:jc w:val="both"/>
        <w:rPr>
          <w:lang w:val="es-ES"/>
        </w:rPr>
      </w:pPr>
      <w:r w:rsidRPr="007F1484">
        <w:rPr>
          <w:lang w:val="es-ES"/>
        </w:rPr>
        <w:t xml:space="preserve">En los hechos, el responsable directo de la administración del fondo debe ceñir sus funciones en concordancia con lo establecido en el “Manual de Tratamiento y Resolución de los Conflictos de Interés” de la AGF, que establece los criterios generales y específicos que norman la forma de resolver las potenciales situaciones que envuelvan superposiciones de intereses. Existe una unidad independiente que vela por el cumplimiento de estas normas. </w:t>
      </w:r>
    </w:p>
    <w:p w14:paraId="1E192C5D" w14:textId="77777777" w:rsidR="00F01162" w:rsidRPr="007F1484" w:rsidRDefault="00F01162" w:rsidP="00F01162">
      <w:pPr>
        <w:spacing w:after="120"/>
        <w:jc w:val="both"/>
        <w:rPr>
          <w:lang w:val="es-ES"/>
        </w:rPr>
      </w:pPr>
      <w:r w:rsidRPr="007F1484">
        <w:rPr>
          <w:lang w:val="es-ES"/>
        </w:rPr>
        <w:t xml:space="preserve">El directorio de la AGF es informado, en cada sesión, respecto de la gestión de las inversiones de los fondos respecto a sus competidores y respecto al cumplimiento de los límites de inversión establecidos en sus </w:t>
      </w:r>
      <w:r w:rsidRPr="007F1484">
        <w:rPr>
          <w:lang w:val="es-ES"/>
        </w:rPr>
        <w:lastRenderedPageBreak/>
        <w:t xml:space="preserve">reglamentos internos y a aquellos definidos por la administración. Asimismo, toda decisión de compra y/o venta está amparada dentro de la política de inversiones, aprobada por el comité de producto de la AGF. </w:t>
      </w:r>
    </w:p>
    <w:p w14:paraId="0C041F9E" w14:textId="61CBF519" w:rsidR="00FF6B64" w:rsidRDefault="00F01162" w:rsidP="0060480D">
      <w:pPr>
        <w:spacing w:after="120"/>
        <w:jc w:val="both"/>
        <w:rPr>
          <w:bCs/>
          <w:lang w:val="es-ES"/>
        </w:rPr>
      </w:pPr>
      <w:r w:rsidRPr="007F1484">
        <w:rPr>
          <w:lang w:val="es-ES"/>
        </w:rPr>
        <w:t xml:space="preserve">Se observa que la estructura de gestión de riesgo del fondo está debidamente formalizada y con niveles de flexibilidad adecuados, ello sobre la base de políticas generales para todos los fondos que deben adecuarse a las características de los activos del fondo. Por otra parte, se observa que la administradora dispone de sistemas robustos para la administración de los fondos, incluidos aquellos con activos con mayor nivel de movimiento (enajenaciones), precios más variables y, en general, más sofisticados en cuanto a su valorización y contabilización. Desde este punto de vista, los sistemas son más que suficientes para soportar las operaciones de </w:t>
      </w:r>
      <w:r w:rsidRPr="007F1484">
        <w:rPr>
          <w:b/>
          <w:lang w:val="es-ES"/>
        </w:rPr>
        <w:t xml:space="preserve">FM </w:t>
      </w:r>
      <w:proofErr w:type="spellStart"/>
      <w:r w:rsidR="007F1484" w:rsidRPr="007F1484">
        <w:rPr>
          <w:b/>
          <w:lang w:val="es-ES"/>
        </w:rPr>
        <w:t>Latam</w:t>
      </w:r>
      <w:proofErr w:type="spellEnd"/>
      <w:r w:rsidR="007F1484" w:rsidRPr="007F1484">
        <w:rPr>
          <w:b/>
          <w:lang w:val="es-ES"/>
        </w:rPr>
        <w:t xml:space="preserve"> </w:t>
      </w:r>
      <w:proofErr w:type="spellStart"/>
      <w:r w:rsidR="007F1484" w:rsidRPr="007F1484">
        <w:rPr>
          <w:b/>
          <w:lang w:val="es-ES"/>
        </w:rPr>
        <w:t>Corporate</w:t>
      </w:r>
      <w:proofErr w:type="spellEnd"/>
      <w:r w:rsidRPr="007F1484">
        <w:rPr>
          <w:bCs/>
          <w:lang w:val="es-ES"/>
        </w:rPr>
        <w:t>.</w:t>
      </w:r>
    </w:p>
    <w:p w14:paraId="6886ABC0" w14:textId="77777777" w:rsidR="008D444A" w:rsidRPr="007F1484" w:rsidRDefault="008D444A" w:rsidP="0060480D">
      <w:pPr>
        <w:spacing w:after="120"/>
        <w:jc w:val="both"/>
        <w:rPr>
          <w:bCs/>
          <w:lang w:val="es-ES"/>
        </w:rPr>
      </w:pPr>
    </w:p>
    <w:p w14:paraId="78058556" w14:textId="3A61CB30" w:rsidR="00C07E95" w:rsidRPr="00C75C51" w:rsidRDefault="00C07E95" w:rsidP="00C07E95">
      <w:pPr>
        <w:pStyle w:val="Ttulo"/>
      </w:pPr>
      <w:r w:rsidRPr="00C75C51">
        <w:t>Objetivos del fondo</w:t>
      </w:r>
    </w:p>
    <w:p w14:paraId="3CC06B91" w14:textId="20F2B81F" w:rsidR="00ED575D" w:rsidRPr="00C00C76" w:rsidRDefault="00123D3F" w:rsidP="00635A4E">
      <w:pPr>
        <w:spacing w:after="120"/>
        <w:jc w:val="both"/>
        <w:rPr>
          <w:lang w:val="es-ES"/>
        </w:rPr>
      </w:pPr>
      <w:r w:rsidRPr="00C75C51">
        <w:rPr>
          <w:b/>
          <w:bCs/>
          <w:lang w:val="es-ES"/>
        </w:rPr>
        <w:t xml:space="preserve">FM </w:t>
      </w:r>
      <w:proofErr w:type="spellStart"/>
      <w:r w:rsidR="00EF72A4" w:rsidRPr="00C75C51">
        <w:rPr>
          <w:b/>
          <w:bCs/>
          <w:lang w:val="es-ES"/>
        </w:rPr>
        <w:t>Latam</w:t>
      </w:r>
      <w:proofErr w:type="spellEnd"/>
      <w:r w:rsidR="00EF72A4" w:rsidRPr="00C75C51">
        <w:rPr>
          <w:b/>
          <w:bCs/>
          <w:lang w:val="es-ES"/>
        </w:rPr>
        <w:t xml:space="preserve"> </w:t>
      </w:r>
      <w:proofErr w:type="spellStart"/>
      <w:r w:rsidR="00EF72A4" w:rsidRPr="00C75C51">
        <w:rPr>
          <w:b/>
          <w:bCs/>
          <w:lang w:val="es-ES"/>
        </w:rPr>
        <w:t>Corporate</w:t>
      </w:r>
      <w:proofErr w:type="spellEnd"/>
      <w:r w:rsidRPr="00C75C51">
        <w:rPr>
          <w:lang w:val="es-ES"/>
        </w:rPr>
        <w:t xml:space="preserve">, según estipula su reglamento interno, </w:t>
      </w:r>
      <w:r w:rsidR="00635A4E" w:rsidRPr="00C75C51">
        <w:rPr>
          <w:lang w:val="es-ES"/>
        </w:rPr>
        <w:t xml:space="preserve">tiene como objetivo </w:t>
      </w:r>
      <w:r w:rsidR="00886CC3" w:rsidRPr="00C75C51">
        <w:rPr>
          <w:lang w:val="es-ES"/>
        </w:rPr>
        <w:t>ser una alternativa de</w:t>
      </w:r>
      <w:r w:rsidR="00E916E3" w:rsidRPr="00C75C51">
        <w:rPr>
          <w:lang w:val="es-ES"/>
        </w:rPr>
        <w:t xml:space="preserve"> inversión</w:t>
      </w:r>
      <w:r w:rsidR="00886CC3" w:rsidRPr="00C75C51">
        <w:rPr>
          <w:lang w:val="es-ES"/>
        </w:rPr>
        <w:t xml:space="preserve"> en dólares de los Estados Unidos, cuya cartera este compuesta principalmente por instrumento de deuda nacional o extranjeros, con clasificación de riesgo </w:t>
      </w:r>
      <w:proofErr w:type="spellStart"/>
      <w:r w:rsidR="00886CC3" w:rsidRPr="00196DD7">
        <w:rPr>
          <w:i/>
          <w:iCs/>
          <w:lang w:val="es-ES"/>
        </w:rPr>
        <w:t>investment</w:t>
      </w:r>
      <w:proofErr w:type="spellEnd"/>
      <w:r w:rsidR="00886CC3" w:rsidRPr="00C75C51">
        <w:rPr>
          <w:lang w:val="es-ES"/>
        </w:rPr>
        <w:t xml:space="preserve"> </w:t>
      </w:r>
      <w:r w:rsidR="00886CC3" w:rsidRPr="00196DD7">
        <w:rPr>
          <w:i/>
          <w:iCs/>
          <w:lang w:val="es-ES"/>
        </w:rPr>
        <w:t>grade</w:t>
      </w:r>
      <w:r w:rsidR="00886CC3" w:rsidRPr="00C75C51">
        <w:rPr>
          <w:lang w:val="es-ES"/>
        </w:rPr>
        <w:t>. Al menos un 90% de los activos del fondo debe</w:t>
      </w:r>
      <w:r w:rsidR="00C75C51" w:rsidRPr="00C75C51">
        <w:rPr>
          <w:lang w:val="es-ES"/>
        </w:rPr>
        <w:t xml:space="preserve">n ser invertidos en instrumentos de deuda de empresas, bancos e instituciones financieras representativas </w:t>
      </w:r>
      <w:r w:rsidR="00C75C51" w:rsidRPr="00C00C76">
        <w:rPr>
          <w:lang w:val="es-ES"/>
        </w:rPr>
        <w:t xml:space="preserve">de emisores latinoamericanos con clasificación </w:t>
      </w:r>
      <w:proofErr w:type="spellStart"/>
      <w:r w:rsidR="00C75C51" w:rsidRPr="00196DD7">
        <w:rPr>
          <w:i/>
          <w:iCs/>
          <w:lang w:val="es-ES"/>
        </w:rPr>
        <w:t>investment</w:t>
      </w:r>
      <w:proofErr w:type="spellEnd"/>
      <w:r w:rsidR="00C75C51" w:rsidRPr="00C00C76">
        <w:rPr>
          <w:lang w:val="es-ES"/>
        </w:rPr>
        <w:t xml:space="preserve"> </w:t>
      </w:r>
      <w:r w:rsidR="00C75C51" w:rsidRPr="00196DD7">
        <w:rPr>
          <w:i/>
          <w:iCs/>
          <w:lang w:val="es-ES"/>
        </w:rPr>
        <w:t>grade</w:t>
      </w:r>
      <w:r w:rsidR="00C75C51" w:rsidRPr="00C00C76">
        <w:rPr>
          <w:lang w:val="es-ES"/>
        </w:rPr>
        <w:t>.</w:t>
      </w:r>
    </w:p>
    <w:p w14:paraId="05AE7814" w14:textId="77777777" w:rsidR="00123D3F" w:rsidRPr="00C00C76" w:rsidRDefault="00123D3F" w:rsidP="00123D3F">
      <w:pPr>
        <w:spacing w:after="120"/>
        <w:jc w:val="both"/>
        <w:rPr>
          <w:lang w:val="es-ES"/>
        </w:rPr>
      </w:pPr>
      <w:r w:rsidRPr="00C00C76">
        <w:rPr>
          <w:lang w:val="es-ES"/>
        </w:rPr>
        <w:t>La política de inversiones estipulada en el reglamento permite y/u obliga lo siguiente:</w:t>
      </w:r>
    </w:p>
    <w:p w14:paraId="11905F00" w14:textId="3B27F3BA" w:rsidR="008465D4" w:rsidRPr="00C00C76" w:rsidRDefault="008465D4" w:rsidP="008465D4">
      <w:pPr>
        <w:pStyle w:val="Prrafodelista"/>
        <w:numPr>
          <w:ilvl w:val="0"/>
          <w:numId w:val="10"/>
        </w:numPr>
        <w:spacing w:after="120"/>
        <w:jc w:val="both"/>
        <w:rPr>
          <w:rFonts w:eastAsiaTheme="minorEastAsia"/>
          <w:szCs w:val="21"/>
        </w:rPr>
      </w:pPr>
      <w:r w:rsidRPr="00C00C76">
        <w:rPr>
          <w:rFonts w:eastAsiaTheme="minorEastAsia"/>
          <w:szCs w:val="21"/>
        </w:rPr>
        <w:t>Invertir en instrumentos</w:t>
      </w:r>
      <w:r w:rsidR="00B316B1">
        <w:rPr>
          <w:rFonts w:eastAsiaTheme="minorEastAsia"/>
          <w:szCs w:val="21"/>
        </w:rPr>
        <w:t xml:space="preserve"> de deuda</w:t>
      </w:r>
      <w:r w:rsidRPr="00C00C76">
        <w:rPr>
          <w:rFonts w:eastAsiaTheme="minorEastAsia"/>
          <w:szCs w:val="21"/>
        </w:rPr>
        <w:t xml:space="preserve"> de corto, mediano y largo plazo.</w:t>
      </w:r>
    </w:p>
    <w:p w14:paraId="26A9B879" w14:textId="224F115D" w:rsidR="008465D4" w:rsidRPr="00C00C76" w:rsidRDefault="008465D4" w:rsidP="00C00C76">
      <w:pPr>
        <w:pStyle w:val="Prrafodelista"/>
        <w:numPr>
          <w:ilvl w:val="0"/>
          <w:numId w:val="10"/>
        </w:numPr>
        <w:spacing w:after="120"/>
        <w:jc w:val="both"/>
        <w:rPr>
          <w:rFonts w:eastAsiaTheme="minorEastAsia"/>
          <w:szCs w:val="21"/>
        </w:rPr>
      </w:pPr>
      <w:r w:rsidRPr="00C00C76">
        <w:rPr>
          <w:rFonts w:eastAsiaTheme="minorEastAsia"/>
          <w:szCs w:val="21"/>
        </w:rPr>
        <w:t xml:space="preserve">Invertir en instrumentos </w:t>
      </w:r>
      <w:r w:rsidR="00F94316">
        <w:rPr>
          <w:rFonts w:eastAsiaTheme="minorEastAsia"/>
          <w:szCs w:val="21"/>
        </w:rPr>
        <w:t xml:space="preserve">que </w:t>
      </w:r>
      <w:r w:rsidR="00F94316">
        <w:t xml:space="preserve">cuenten con al menos una clasificación de riesgo equivalente a </w:t>
      </w:r>
      <w:r w:rsidRPr="00C00C76">
        <w:rPr>
          <w:rFonts w:eastAsiaTheme="minorEastAsia"/>
          <w:szCs w:val="21"/>
        </w:rPr>
        <w:t>“</w:t>
      </w:r>
      <w:r w:rsidRPr="00C00C76">
        <w:rPr>
          <w:rFonts w:eastAsiaTheme="minorEastAsia"/>
          <w:i/>
          <w:iCs/>
          <w:szCs w:val="21"/>
        </w:rPr>
        <w:t>Categoría B</w:t>
      </w:r>
      <w:r w:rsidRPr="00C00C76">
        <w:rPr>
          <w:rFonts w:eastAsiaTheme="minorEastAsia"/>
          <w:szCs w:val="21"/>
        </w:rPr>
        <w:t>”, “</w:t>
      </w:r>
      <w:r w:rsidRPr="00C00C76">
        <w:rPr>
          <w:rFonts w:eastAsiaTheme="minorEastAsia"/>
          <w:i/>
          <w:iCs/>
          <w:szCs w:val="21"/>
        </w:rPr>
        <w:t>N-3</w:t>
      </w:r>
      <w:r w:rsidRPr="00C00C76">
        <w:rPr>
          <w:rFonts w:eastAsiaTheme="minorEastAsia"/>
          <w:szCs w:val="21"/>
        </w:rPr>
        <w:t>”, o superiores.</w:t>
      </w:r>
    </w:p>
    <w:p w14:paraId="7CBA0272" w14:textId="5AA2CC5A" w:rsidR="008465D4" w:rsidRPr="00482262" w:rsidRDefault="008465D4" w:rsidP="008465D4">
      <w:pPr>
        <w:pStyle w:val="Prrafodelista"/>
        <w:numPr>
          <w:ilvl w:val="0"/>
          <w:numId w:val="10"/>
        </w:numPr>
        <w:spacing w:after="120"/>
        <w:jc w:val="both"/>
        <w:rPr>
          <w:rFonts w:eastAsiaTheme="minorEastAsia"/>
          <w:szCs w:val="21"/>
        </w:rPr>
      </w:pPr>
      <w:r w:rsidRPr="00482262">
        <w:rPr>
          <w:rFonts w:eastAsiaTheme="minorEastAsia"/>
          <w:szCs w:val="21"/>
        </w:rPr>
        <w:t xml:space="preserve">Mantener hasta un 100% de sus activos </w:t>
      </w:r>
      <w:r w:rsidR="00F774B4" w:rsidRPr="00482262">
        <w:rPr>
          <w:rFonts w:eastAsiaTheme="minorEastAsia"/>
          <w:szCs w:val="21"/>
        </w:rPr>
        <w:t>en bonos emitidos o g</w:t>
      </w:r>
      <w:r w:rsidR="00295522" w:rsidRPr="00482262">
        <w:rPr>
          <w:rFonts w:eastAsiaTheme="minorEastAsia"/>
          <w:szCs w:val="21"/>
        </w:rPr>
        <w:t>arantizados por bancos e instituciones financieras nacionales y extranjeras.</w:t>
      </w:r>
    </w:p>
    <w:p w14:paraId="06FCC20F" w14:textId="6C22A51F" w:rsidR="008465D4" w:rsidRPr="00482262" w:rsidRDefault="008465D4" w:rsidP="008465D4">
      <w:pPr>
        <w:pStyle w:val="Prrafodelista"/>
        <w:numPr>
          <w:ilvl w:val="0"/>
          <w:numId w:val="10"/>
        </w:numPr>
        <w:spacing w:after="120"/>
        <w:jc w:val="both"/>
        <w:rPr>
          <w:rFonts w:eastAsiaTheme="minorEastAsia"/>
          <w:szCs w:val="21"/>
        </w:rPr>
      </w:pPr>
      <w:r w:rsidRPr="00482262">
        <w:rPr>
          <w:rFonts w:eastAsiaTheme="minorEastAsia"/>
          <w:szCs w:val="21"/>
        </w:rPr>
        <w:t xml:space="preserve">Mantener un porcentaje máximo de 20% del activo del </w:t>
      </w:r>
      <w:r w:rsidR="00482262" w:rsidRPr="00482262">
        <w:rPr>
          <w:rFonts w:eastAsiaTheme="minorEastAsia"/>
          <w:szCs w:val="21"/>
        </w:rPr>
        <w:t>fondo en pagarés emitidos por empresas extranjeras y nacionales.</w:t>
      </w:r>
    </w:p>
    <w:p w14:paraId="6CA24F65" w14:textId="3688583E" w:rsidR="00295522" w:rsidRPr="001D59FE" w:rsidRDefault="00295522" w:rsidP="008465D4">
      <w:pPr>
        <w:pStyle w:val="Prrafodelista"/>
        <w:numPr>
          <w:ilvl w:val="0"/>
          <w:numId w:val="10"/>
        </w:numPr>
        <w:spacing w:after="120"/>
        <w:jc w:val="both"/>
        <w:rPr>
          <w:rFonts w:eastAsiaTheme="minorEastAsia"/>
          <w:szCs w:val="21"/>
        </w:rPr>
      </w:pPr>
      <w:r w:rsidRPr="001D59FE">
        <w:rPr>
          <w:rFonts w:eastAsiaTheme="minorEastAsia"/>
          <w:szCs w:val="21"/>
        </w:rPr>
        <w:t>Mantener un porcentaje máximo de 10% del activo del fondo en instrumentos emitidos o garantizados por el</w:t>
      </w:r>
      <w:r w:rsidR="00AF67EE" w:rsidRPr="001D59FE">
        <w:rPr>
          <w:rFonts w:eastAsiaTheme="minorEastAsia"/>
          <w:szCs w:val="21"/>
        </w:rPr>
        <w:t xml:space="preserve"> Estado, Tesorería General y/o Banco Central de Chile</w:t>
      </w:r>
      <w:r w:rsidR="001D59FE" w:rsidRPr="001D59FE">
        <w:rPr>
          <w:rFonts w:eastAsiaTheme="minorEastAsia"/>
          <w:szCs w:val="21"/>
        </w:rPr>
        <w:t>.</w:t>
      </w:r>
    </w:p>
    <w:p w14:paraId="5E494488" w14:textId="472B643B" w:rsidR="001D59FE" w:rsidRPr="001D59FE" w:rsidRDefault="001D59FE" w:rsidP="008465D4">
      <w:pPr>
        <w:pStyle w:val="Prrafodelista"/>
        <w:numPr>
          <w:ilvl w:val="0"/>
          <w:numId w:val="10"/>
        </w:numPr>
        <w:spacing w:after="120"/>
        <w:jc w:val="both"/>
        <w:rPr>
          <w:rFonts w:eastAsiaTheme="minorEastAsia"/>
          <w:szCs w:val="21"/>
        </w:rPr>
      </w:pPr>
      <w:r w:rsidRPr="001D59FE">
        <w:rPr>
          <w:rFonts w:eastAsiaTheme="minorEastAsia"/>
          <w:szCs w:val="21"/>
        </w:rPr>
        <w:t>Mantener un porcentaje máximo de 10% del activo del fondo en instrumentos emitidos o garantizados</w:t>
      </w:r>
      <w:r w:rsidR="000A28ED">
        <w:rPr>
          <w:rFonts w:eastAsiaTheme="minorEastAsia"/>
          <w:szCs w:val="21"/>
        </w:rPr>
        <w:t xml:space="preserve"> </w:t>
      </w:r>
      <w:r w:rsidRPr="001D59FE">
        <w:rPr>
          <w:rFonts w:eastAsiaTheme="minorEastAsia"/>
          <w:szCs w:val="21"/>
        </w:rPr>
        <w:t>por el Estado o Banco Central Extranjero.</w:t>
      </w:r>
    </w:p>
    <w:p w14:paraId="29AD69A1" w14:textId="77777777" w:rsidR="008465D4" w:rsidRDefault="008465D4" w:rsidP="008465D4">
      <w:pPr>
        <w:pStyle w:val="Prrafodelista"/>
        <w:numPr>
          <w:ilvl w:val="0"/>
          <w:numId w:val="10"/>
        </w:numPr>
        <w:spacing w:after="120"/>
        <w:jc w:val="both"/>
        <w:rPr>
          <w:rFonts w:eastAsiaTheme="minorEastAsia"/>
          <w:szCs w:val="21"/>
        </w:rPr>
      </w:pPr>
      <w:r w:rsidRPr="001D59FE">
        <w:rPr>
          <w:rFonts w:eastAsiaTheme="minorEastAsia"/>
          <w:szCs w:val="21"/>
        </w:rPr>
        <w:t>Mantener un porcentaje máximo de 30% del activo del fondo en instrumentos emitidos o garantizados por entidades pertenecientes a un mismo grupo empresarial.</w:t>
      </w:r>
    </w:p>
    <w:p w14:paraId="7CBA1775" w14:textId="77777777" w:rsidR="008465D4" w:rsidRPr="0013175A" w:rsidRDefault="008465D4" w:rsidP="008465D4">
      <w:pPr>
        <w:pStyle w:val="Prrafodelista"/>
        <w:numPr>
          <w:ilvl w:val="0"/>
          <w:numId w:val="10"/>
        </w:numPr>
        <w:spacing w:after="120"/>
        <w:jc w:val="both"/>
        <w:rPr>
          <w:rFonts w:eastAsiaTheme="minorEastAsia"/>
          <w:szCs w:val="21"/>
        </w:rPr>
      </w:pPr>
      <w:r w:rsidRPr="0013175A">
        <w:rPr>
          <w:rFonts w:eastAsiaTheme="minorEastAsia"/>
          <w:szCs w:val="21"/>
        </w:rPr>
        <w:t>Mantener un máximo del 25% del capital suscrito y pagado o del activo de un emisor.</w:t>
      </w:r>
    </w:p>
    <w:p w14:paraId="0A22D8C5" w14:textId="01EEE024" w:rsidR="008465D4" w:rsidRPr="0013175A" w:rsidRDefault="008465D4" w:rsidP="008465D4">
      <w:pPr>
        <w:pStyle w:val="Prrafodelista"/>
        <w:numPr>
          <w:ilvl w:val="0"/>
          <w:numId w:val="10"/>
        </w:numPr>
        <w:spacing w:after="120"/>
        <w:jc w:val="both"/>
        <w:rPr>
          <w:rFonts w:eastAsiaTheme="minorEastAsia"/>
          <w:szCs w:val="21"/>
        </w:rPr>
      </w:pPr>
      <w:r w:rsidRPr="0013175A">
        <w:rPr>
          <w:rFonts w:eastAsiaTheme="minorEastAsia"/>
          <w:szCs w:val="21"/>
        </w:rPr>
        <w:t>Mantener un máximo del 25% en</w:t>
      </w:r>
      <w:r w:rsidR="00D57A7E" w:rsidRPr="0013175A">
        <w:rPr>
          <w:rFonts w:eastAsiaTheme="minorEastAsia"/>
          <w:szCs w:val="21"/>
        </w:rPr>
        <w:t xml:space="preserve"> </w:t>
      </w:r>
      <w:r w:rsidRPr="0013175A">
        <w:rPr>
          <w:rFonts w:eastAsiaTheme="minorEastAsia"/>
          <w:szCs w:val="21"/>
        </w:rPr>
        <w:t>deuda del Estado de Chile.</w:t>
      </w:r>
    </w:p>
    <w:p w14:paraId="75E2BB61" w14:textId="77777777" w:rsidR="008465D4" w:rsidRPr="00E15008" w:rsidRDefault="008465D4" w:rsidP="008465D4">
      <w:pPr>
        <w:pStyle w:val="Prrafodelista"/>
        <w:numPr>
          <w:ilvl w:val="0"/>
          <w:numId w:val="10"/>
        </w:numPr>
        <w:spacing w:after="120"/>
        <w:jc w:val="both"/>
        <w:rPr>
          <w:rFonts w:eastAsiaTheme="minorEastAsia"/>
          <w:szCs w:val="21"/>
        </w:rPr>
      </w:pPr>
      <w:r w:rsidRPr="0020463D">
        <w:rPr>
          <w:rFonts w:eastAsiaTheme="minorEastAsia"/>
          <w:szCs w:val="21"/>
        </w:rPr>
        <w:t xml:space="preserve">No </w:t>
      </w:r>
      <w:r w:rsidRPr="00E15008">
        <w:rPr>
          <w:rFonts w:eastAsiaTheme="minorEastAsia"/>
          <w:szCs w:val="21"/>
        </w:rPr>
        <w:t>controlar, directa o indirectamente, a un emisor de valores.</w:t>
      </w:r>
    </w:p>
    <w:p w14:paraId="59B76C4D" w14:textId="3D5390E5" w:rsidR="001342F3" w:rsidRPr="00311D1A" w:rsidRDefault="30049A5D" w:rsidP="0075726C">
      <w:pPr>
        <w:spacing w:after="120" w:line="259" w:lineRule="auto"/>
        <w:jc w:val="both"/>
        <w:rPr>
          <w:rFonts w:eastAsia="Calibri"/>
          <w:highlight w:val="yellow"/>
        </w:rPr>
      </w:pPr>
      <w:r w:rsidRPr="00E15008">
        <w:t xml:space="preserve">En la práctica, </w:t>
      </w:r>
      <w:r w:rsidRPr="00E15008">
        <w:rPr>
          <w:b/>
          <w:bCs/>
        </w:rPr>
        <w:t xml:space="preserve">FM </w:t>
      </w:r>
      <w:proofErr w:type="spellStart"/>
      <w:r w:rsidR="00C00C76" w:rsidRPr="00E15008">
        <w:rPr>
          <w:b/>
          <w:bCs/>
        </w:rPr>
        <w:t>Latam</w:t>
      </w:r>
      <w:proofErr w:type="spellEnd"/>
      <w:r w:rsidR="00C00C76" w:rsidRPr="00E15008">
        <w:rPr>
          <w:b/>
          <w:bCs/>
        </w:rPr>
        <w:t xml:space="preserve"> </w:t>
      </w:r>
      <w:proofErr w:type="spellStart"/>
      <w:r w:rsidR="00C00C76" w:rsidRPr="00E15008">
        <w:rPr>
          <w:b/>
          <w:bCs/>
        </w:rPr>
        <w:t>Corporate</w:t>
      </w:r>
      <w:proofErr w:type="spellEnd"/>
      <w:r w:rsidRPr="00E15008">
        <w:rPr>
          <w:b/>
          <w:bCs/>
        </w:rPr>
        <w:t xml:space="preserve"> </w:t>
      </w:r>
      <w:r w:rsidRPr="00E15008">
        <w:t xml:space="preserve">ha presentado </w:t>
      </w:r>
      <w:r w:rsidR="1F0DCBE1" w:rsidRPr="00E15008">
        <w:t>una cartera de inversión, conformada principalmente</w:t>
      </w:r>
      <w:r w:rsidR="298283BC" w:rsidRPr="00E15008">
        <w:t xml:space="preserve"> por </w:t>
      </w:r>
      <w:r w:rsidR="00F9315F" w:rsidRPr="00E15008">
        <w:t>bonos emitidos por entidades extranjeras</w:t>
      </w:r>
      <w:r w:rsidR="005321A1" w:rsidRPr="00E15008">
        <w:t xml:space="preserve"> y </w:t>
      </w:r>
      <w:r w:rsidR="00F9315F" w:rsidRPr="00E15008">
        <w:t xml:space="preserve">bonos </w:t>
      </w:r>
      <w:r w:rsidR="006D1593">
        <w:t>nacionales emitidos en el extranjero</w:t>
      </w:r>
      <w:r w:rsidR="5AFF13C3" w:rsidRPr="00E15008">
        <w:t xml:space="preserve"> (</w:t>
      </w:r>
      <w:r w:rsidR="00DD0424" w:rsidRPr="00E15008">
        <w:t>6</w:t>
      </w:r>
      <w:r w:rsidR="008E75DD">
        <w:t>5</w:t>
      </w:r>
      <w:r w:rsidR="0020463D" w:rsidRPr="00E15008">
        <w:t>,</w:t>
      </w:r>
      <w:r w:rsidR="008E75DD">
        <w:t>18</w:t>
      </w:r>
      <w:r w:rsidR="5F00F458" w:rsidRPr="00E15008">
        <w:t xml:space="preserve">% y </w:t>
      </w:r>
      <w:r w:rsidR="0020463D" w:rsidRPr="00E15008">
        <w:t>1</w:t>
      </w:r>
      <w:r w:rsidR="008E75DD">
        <w:t>7</w:t>
      </w:r>
      <w:r w:rsidR="006D1593">
        <w:t>,</w:t>
      </w:r>
      <w:r w:rsidR="008E75DD">
        <w:t>66</w:t>
      </w:r>
      <w:r w:rsidR="5F00F458" w:rsidRPr="00E15008">
        <w:t>%</w:t>
      </w:r>
      <w:r w:rsidR="6B3B1FA3" w:rsidRPr="00E15008">
        <w:t>,</w:t>
      </w:r>
      <w:r w:rsidR="5F00F458" w:rsidRPr="00E15008">
        <w:t xml:space="preserve"> </w:t>
      </w:r>
      <w:r w:rsidR="5F00F458" w:rsidRPr="00246B1C">
        <w:t xml:space="preserve">respectivamente, como promedio en los últimos dos años); al cierre de </w:t>
      </w:r>
      <w:r w:rsidR="008E75DD">
        <w:t>noviembre</w:t>
      </w:r>
      <w:r w:rsidR="5F00F458" w:rsidRPr="00246B1C">
        <w:t xml:space="preserve"> de 202</w:t>
      </w:r>
      <w:r w:rsidR="008E75DD">
        <w:t>2</w:t>
      </w:r>
      <w:r w:rsidR="5F00F458" w:rsidRPr="00246B1C">
        <w:t xml:space="preserve">, representaron </w:t>
      </w:r>
      <w:r w:rsidR="43ED03AB" w:rsidRPr="00246B1C">
        <w:t xml:space="preserve">el </w:t>
      </w:r>
      <w:r w:rsidR="0020463D" w:rsidRPr="00246B1C">
        <w:t>6</w:t>
      </w:r>
      <w:r w:rsidR="0035559A">
        <w:t>8</w:t>
      </w:r>
      <w:r w:rsidR="0020463D" w:rsidRPr="00246B1C">
        <w:t>,</w:t>
      </w:r>
      <w:r w:rsidR="00B653F6">
        <w:t>39</w:t>
      </w:r>
      <w:r w:rsidR="43ED03AB" w:rsidRPr="00246B1C">
        <w:t xml:space="preserve">% y </w:t>
      </w:r>
      <w:r w:rsidR="0020463D" w:rsidRPr="00246B1C">
        <w:t>1</w:t>
      </w:r>
      <w:r w:rsidR="00B653F6">
        <w:t>7</w:t>
      </w:r>
      <w:r w:rsidR="006D1593">
        <w:t>,</w:t>
      </w:r>
      <w:r w:rsidR="00B653F6">
        <w:t>76</w:t>
      </w:r>
      <w:r w:rsidR="43ED03AB" w:rsidRPr="00246B1C">
        <w:t>% respectivamente</w:t>
      </w:r>
      <w:r w:rsidR="088878CE" w:rsidRPr="003A711B">
        <w:t>.</w:t>
      </w:r>
      <w:r w:rsidR="71623E5D" w:rsidRPr="003A711B">
        <w:t xml:space="preserve"> En términos de tipo de moneda, las inversiones se han orientado a instrumentos en </w:t>
      </w:r>
      <w:r w:rsidR="003A711B" w:rsidRPr="003A711B">
        <w:t>dólar</w:t>
      </w:r>
      <w:r w:rsidR="71623E5D" w:rsidRPr="003A711B">
        <w:t xml:space="preserve"> </w:t>
      </w:r>
      <w:r w:rsidR="003A711B" w:rsidRPr="003A711B">
        <w:t xml:space="preserve">de los Estados Unidos </w:t>
      </w:r>
      <w:r w:rsidR="3B157C70" w:rsidRPr="003A711B">
        <w:t>(</w:t>
      </w:r>
      <w:r w:rsidR="003A711B" w:rsidRPr="003A711B">
        <w:t>total cartera).</w:t>
      </w:r>
    </w:p>
    <w:p w14:paraId="21E7FB09" w14:textId="7636A6E9" w:rsidR="00C07E95" w:rsidRPr="00B8127D" w:rsidRDefault="00C07E95" w:rsidP="00C07E95">
      <w:pPr>
        <w:pStyle w:val="Ttulo"/>
      </w:pPr>
      <w:r w:rsidRPr="00B8127D">
        <w:lastRenderedPageBreak/>
        <w:t>Composición del fondo</w:t>
      </w:r>
    </w:p>
    <w:p w14:paraId="3F9BB37A" w14:textId="23FBEB20" w:rsidR="00E456B4" w:rsidRPr="00FD4327" w:rsidRDefault="009216C7" w:rsidP="00C07E95">
      <w:pPr>
        <w:spacing w:after="120"/>
        <w:jc w:val="both"/>
      </w:pPr>
      <w:r w:rsidRPr="00B8127D">
        <w:rPr>
          <w:b/>
          <w:bCs/>
        </w:rPr>
        <w:t xml:space="preserve">FM </w:t>
      </w:r>
      <w:proofErr w:type="spellStart"/>
      <w:r w:rsidR="00291ABB" w:rsidRPr="00B8127D">
        <w:rPr>
          <w:b/>
          <w:bCs/>
        </w:rPr>
        <w:t>Latam</w:t>
      </w:r>
      <w:proofErr w:type="spellEnd"/>
      <w:r w:rsidR="00291ABB" w:rsidRPr="00B8127D">
        <w:rPr>
          <w:b/>
          <w:bCs/>
        </w:rPr>
        <w:t xml:space="preserve"> </w:t>
      </w:r>
      <w:proofErr w:type="spellStart"/>
      <w:r w:rsidR="00291ABB" w:rsidRPr="00B8127D">
        <w:rPr>
          <w:b/>
          <w:bCs/>
        </w:rPr>
        <w:t>Corporate</w:t>
      </w:r>
      <w:proofErr w:type="spellEnd"/>
      <w:r w:rsidR="002B5E59" w:rsidRPr="00B8127D">
        <w:rPr>
          <w:b/>
          <w:bCs/>
        </w:rPr>
        <w:t xml:space="preserve"> </w:t>
      </w:r>
      <w:r w:rsidRPr="00B8127D">
        <w:t xml:space="preserve">cuenta con </w:t>
      </w:r>
      <w:r w:rsidR="00B1117F" w:rsidRPr="00B8127D">
        <w:t>cuatro</w:t>
      </w:r>
      <w:r w:rsidRPr="00B8127D">
        <w:t xml:space="preserve"> series </w:t>
      </w:r>
      <w:r w:rsidR="00DA2B65" w:rsidRPr="00B8127D">
        <w:t>vigentes</w:t>
      </w:r>
      <w:r w:rsidR="00ED4B6D">
        <w:t xml:space="preserve"> a la fecha.</w:t>
      </w:r>
      <w:r w:rsidR="00DA2B65" w:rsidRPr="00B8127D">
        <w:t xml:space="preserve"> </w:t>
      </w:r>
      <w:r w:rsidR="00ED4B6D">
        <w:t>A</w:t>
      </w:r>
      <w:r w:rsidR="00DA2B65" w:rsidRPr="00B8127D">
        <w:t xml:space="preserve">l cierre de </w:t>
      </w:r>
      <w:r w:rsidR="002557D3">
        <w:t>noviembre</w:t>
      </w:r>
      <w:r w:rsidR="00DA2B65" w:rsidRPr="00B8127D">
        <w:t xml:space="preserve"> de 202</w:t>
      </w:r>
      <w:r w:rsidR="002557D3">
        <w:t>2</w:t>
      </w:r>
      <w:r w:rsidR="00DA2B65" w:rsidRPr="00B8127D">
        <w:t xml:space="preserve"> contaba con </w:t>
      </w:r>
      <w:r w:rsidR="001B5538" w:rsidRPr="00FD4327">
        <w:t>1.</w:t>
      </w:r>
      <w:r w:rsidR="00DC46C3">
        <w:t>090</w:t>
      </w:r>
      <w:r w:rsidR="004E28FC" w:rsidRPr="00FD4327">
        <w:t> </w:t>
      </w:r>
      <w:r w:rsidR="009A2A97" w:rsidRPr="00FD4327">
        <w:t>partícipes,</w:t>
      </w:r>
      <w:r w:rsidR="0006488A">
        <w:t xml:space="preserve"> de los cuales</w:t>
      </w:r>
      <w:r w:rsidR="009A2A97" w:rsidRPr="00FD4327">
        <w:t xml:space="preserve"> </w:t>
      </w:r>
      <w:r w:rsidR="001B5538" w:rsidRPr="00FD4327">
        <w:t>ninguno</w:t>
      </w:r>
      <w:r w:rsidR="006054F0" w:rsidRPr="00FD4327">
        <w:t xml:space="preserve"> de ellos</w:t>
      </w:r>
      <w:r w:rsidR="0006488A">
        <w:t xml:space="preserve"> corresponde a</w:t>
      </w:r>
      <w:r w:rsidR="006054F0" w:rsidRPr="00FD4327">
        <w:t xml:space="preserve"> institucionales. El máximo de partícipes en los últimos 36 meses ha sido de </w:t>
      </w:r>
      <w:r w:rsidR="00B75071" w:rsidRPr="00FD4327">
        <w:t>1.669</w:t>
      </w:r>
      <w:r w:rsidR="006054F0" w:rsidRPr="00FD4327">
        <w:t xml:space="preserve"> en </w:t>
      </w:r>
      <w:r w:rsidR="00B75071" w:rsidRPr="00FD4327">
        <w:t>diciembre</w:t>
      </w:r>
      <w:r w:rsidR="00574152" w:rsidRPr="00FD4327">
        <w:t xml:space="preserve"> </w:t>
      </w:r>
      <w:r w:rsidR="00E456B4" w:rsidRPr="00FD4327">
        <w:t>de 20</w:t>
      </w:r>
      <w:r w:rsidR="00574152" w:rsidRPr="00FD4327">
        <w:t>2</w:t>
      </w:r>
      <w:r w:rsidR="00B75071" w:rsidRPr="00FD4327">
        <w:t>0</w:t>
      </w:r>
      <w:r w:rsidR="00E456B4" w:rsidRPr="00FD4327">
        <w:t>.</w:t>
      </w:r>
    </w:p>
    <w:p w14:paraId="2F2E3C9A" w14:textId="20C8B30D" w:rsidR="0064630E" w:rsidRDefault="0064630E" w:rsidP="0064630E">
      <w:pPr>
        <w:spacing w:after="120"/>
        <w:jc w:val="center"/>
      </w:pPr>
      <w:r>
        <w:rPr>
          <w:noProof/>
        </w:rPr>
        <w:drawing>
          <wp:inline distT="0" distB="0" distL="0" distR="0" wp14:anchorId="4E89B9B6" wp14:editId="4B85C8AB">
            <wp:extent cx="5760000" cy="2520000"/>
            <wp:effectExtent l="0" t="0" r="0" b="0"/>
            <wp:docPr id="13" name="Gráfico 13">
              <a:extLst xmlns:a="http://schemas.openxmlformats.org/drawingml/2006/main">
                <a:ext uri="{FF2B5EF4-FFF2-40B4-BE49-F238E27FC236}">
                  <a16:creationId xmlns:a16="http://schemas.microsoft.com/office/drawing/2014/main" id="{8A369388-F93E-4EA9-8F6F-3D016DDB2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9B5278" w14:textId="5C9BC802" w:rsidR="000245B1" w:rsidRDefault="00B609AB" w:rsidP="00B609AB">
      <w:pPr>
        <w:pStyle w:val="Descripcin"/>
      </w:pPr>
      <w:bookmarkStart w:id="2" w:name="_Ref81999306"/>
      <w:r w:rsidRPr="007724CB">
        <w:t xml:space="preserve">Ilustración </w:t>
      </w:r>
      <w:r w:rsidRPr="007724CB">
        <w:fldChar w:fldCharType="begin"/>
      </w:r>
      <w:r w:rsidRPr="007724CB">
        <w:instrText>SEQ Ilustración \* ARABIC</w:instrText>
      </w:r>
      <w:r w:rsidRPr="007724CB">
        <w:fldChar w:fldCharType="separate"/>
      </w:r>
      <w:r w:rsidR="00BA37AC">
        <w:rPr>
          <w:noProof/>
        </w:rPr>
        <w:t>1</w:t>
      </w:r>
      <w:r w:rsidRPr="007724CB">
        <w:fldChar w:fldCharType="end"/>
      </w:r>
      <w:bookmarkEnd w:id="2"/>
      <w:r w:rsidRPr="007724CB">
        <w:t>: Evolución del patrimonio y partícipes por serie</w:t>
      </w:r>
    </w:p>
    <w:p w14:paraId="4C7C9670" w14:textId="5041FC0C" w:rsidR="006E24DF" w:rsidRPr="00FD4327" w:rsidRDefault="006E24DF" w:rsidP="006E24DF">
      <w:pPr>
        <w:spacing w:after="120"/>
        <w:jc w:val="both"/>
        <w:rPr>
          <w:b/>
          <w:bCs/>
        </w:rPr>
      </w:pPr>
      <w:r w:rsidRPr="00FD4327">
        <w:t xml:space="preserve">Al </w:t>
      </w:r>
      <w:r>
        <w:t>30</w:t>
      </w:r>
      <w:r w:rsidRPr="00FD4327">
        <w:t xml:space="preserve"> de </w:t>
      </w:r>
      <w:r>
        <w:t>noviembre</w:t>
      </w:r>
      <w:r w:rsidRPr="00FD4327">
        <w:t xml:space="preserve"> de 202</w:t>
      </w:r>
      <w:r>
        <w:t>2</w:t>
      </w:r>
      <w:r w:rsidRPr="00FD4327">
        <w:t xml:space="preserve">, el fondo presentaba un tamaño de US$ </w:t>
      </w:r>
      <w:r w:rsidRPr="00C81CE9">
        <w:t>27.</w:t>
      </w:r>
      <w:r>
        <w:t xml:space="preserve">3 </w:t>
      </w:r>
      <w:r w:rsidRPr="00FD4327">
        <w:t xml:space="preserve">millones, </w:t>
      </w:r>
      <w:r>
        <w:t>compuesto en un 72,47% de la</w:t>
      </w:r>
      <w:r w:rsidRPr="00FD4327">
        <w:t xml:space="preserve"> serie L</w:t>
      </w:r>
      <w:r>
        <w:t xml:space="preserve"> y el resto por la serie M</w:t>
      </w:r>
      <w:r w:rsidRPr="00FD4327">
        <w:rPr>
          <w:rFonts w:eastAsiaTheme="minorEastAsia"/>
          <w:szCs w:val="21"/>
        </w:rPr>
        <w:t>. En los últimos dos años, el fondo alcanzó un patrimonio promedio de</w:t>
      </w:r>
      <w:r w:rsidRPr="00FD4327">
        <w:t xml:space="preserve"> US$</w:t>
      </w:r>
      <w:r>
        <w:t xml:space="preserve"> </w:t>
      </w:r>
      <w:r w:rsidRPr="007F79BE">
        <w:t>45.</w:t>
      </w:r>
      <w:r>
        <w:t>3</w:t>
      </w:r>
      <w:r w:rsidRPr="00FD4327">
        <w:t xml:space="preserve"> millones, teniendo su </w:t>
      </w:r>
      <w:proofErr w:type="spellStart"/>
      <w:r w:rsidRPr="00FD4327">
        <w:rPr>
          <w:i/>
          <w:iCs/>
        </w:rPr>
        <w:t>peak</w:t>
      </w:r>
      <w:proofErr w:type="spellEnd"/>
      <w:r w:rsidRPr="00FD4327">
        <w:rPr>
          <w:i/>
          <w:iCs/>
        </w:rPr>
        <w:t xml:space="preserve"> </w:t>
      </w:r>
      <w:r w:rsidRPr="00FD4327">
        <w:t xml:space="preserve">en enero 2021. La </w:t>
      </w:r>
      <w:r w:rsidRPr="00FD4327">
        <w:fldChar w:fldCharType="begin"/>
      </w:r>
      <w:r w:rsidRPr="00FD4327">
        <w:instrText xml:space="preserve"> REF _Ref81999306 \h  \* MERGEFORMAT </w:instrText>
      </w:r>
      <w:r w:rsidRPr="00FD4327">
        <w:fldChar w:fldCharType="separate"/>
      </w:r>
      <w:r w:rsidR="00BA37AC" w:rsidRPr="007724CB">
        <w:t xml:space="preserve">Ilustración </w:t>
      </w:r>
      <w:r w:rsidR="00BA37AC">
        <w:rPr>
          <w:noProof/>
        </w:rPr>
        <w:t>1</w:t>
      </w:r>
      <w:r w:rsidRPr="00FD4327">
        <w:fldChar w:fldCharType="end"/>
      </w:r>
      <w:r w:rsidRPr="00FD4327">
        <w:t xml:space="preserve"> presenta la evolución del patrimonio de </w:t>
      </w:r>
      <w:r w:rsidRPr="00FD4327">
        <w:rPr>
          <w:b/>
          <w:bCs/>
        </w:rPr>
        <w:t xml:space="preserve">FM </w:t>
      </w:r>
      <w:proofErr w:type="spellStart"/>
      <w:r w:rsidRPr="00FD4327">
        <w:rPr>
          <w:b/>
          <w:bCs/>
        </w:rPr>
        <w:t>Latam</w:t>
      </w:r>
      <w:proofErr w:type="spellEnd"/>
      <w:r w:rsidRPr="00FD4327">
        <w:rPr>
          <w:b/>
          <w:bCs/>
        </w:rPr>
        <w:t xml:space="preserve"> </w:t>
      </w:r>
      <w:proofErr w:type="spellStart"/>
      <w:r w:rsidRPr="00FD4327">
        <w:rPr>
          <w:b/>
          <w:bCs/>
        </w:rPr>
        <w:t>Corporate</w:t>
      </w:r>
      <w:proofErr w:type="spellEnd"/>
      <w:r w:rsidRPr="00FD4327">
        <w:rPr>
          <w:b/>
          <w:bCs/>
        </w:rPr>
        <w:t>.</w:t>
      </w:r>
    </w:p>
    <w:p w14:paraId="2D0E3245" w14:textId="6453FD16" w:rsidR="00A43745" w:rsidRDefault="00A43745" w:rsidP="00A43745">
      <w:pPr>
        <w:spacing w:after="120"/>
        <w:jc w:val="both"/>
      </w:pPr>
      <w:r w:rsidRPr="00C45522">
        <w:t xml:space="preserve">En cuanto a los activos del fondo, la inversión se ha orientado principalmente a bonos de empresas extranjeras (BEE) y bonos </w:t>
      </w:r>
      <w:r>
        <w:t>nacionales emitidos en el extranjero</w:t>
      </w:r>
      <w:r w:rsidRPr="00C45522">
        <w:t xml:space="preserve"> (B</w:t>
      </w:r>
      <w:r>
        <w:t>NE</w:t>
      </w:r>
      <w:r w:rsidRPr="00C45522">
        <w:t xml:space="preserve">E), los que, al cierre de </w:t>
      </w:r>
      <w:r w:rsidR="006B63F7">
        <w:t>noviembre</w:t>
      </w:r>
      <w:r w:rsidRPr="00C45522">
        <w:t xml:space="preserve"> de 202</w:t>
      </w:r>
      <w:r w:rsidR="006B63F7">
        <w:t>2</w:t>
      </w:r>
      <w:r w:rsidRPr="00C45522">
        <w:t xml:space="preserve">, representaron un </w:t>
      </w:r>
      <w:r w:rsidR="00F467A2" w:rsidRPr="00F467A2">
        <w:t>68,39%</w:t>
      </w:r>
      <w:r w:rsidR="00F467A2">
        <w:t xml:space="preserve"> </w:t>
      </w:r>
      <w:r w:rsidRPr="00C45522">
        <w:t xml:space="preserve">y </w:t>
      </w:r>
      <w:r w:rsidR="001E6FBA" w:rsidRPr="001E6FBA">
        <w:t>17,76%</w:t>
      </w:r>
      <w:r w:rsidR="001E6FBA">
        <w:t xml:space="preserve">, </w:t>
      </w:r>
      <w:r w:rsidRPr="00C45522">
        <w:t xml:space="preserve">respectivamente. En la </w:t>
      </w:r>
      <w:r w:rsidRPr="00C45522">
        <w:fldChar w:fldCharType="begin"/>
      </w:r>
      <w:r w:rsidRPr="00C45522">
        <w:instrText xml:space="preserve"> REF _Ref82000422 \h  \* MERGEFORMAT </w:instrText>
      </w:r>
      <w:r w:rsidRPr="00C45522">
        <w:fldChar w:fldCharType="separate"/>
      </w:r>
      <w:r w:rsidR="00BA37AC" w:rsidRPr="007724CB">
        <w:t xml:space="preserve">Ilustración </w:t>
      </w:r>
      <w:r w:rsidR="00BA37AC">
        <w:rPr>
          <w:noProof/>
        </w:rPr>
        <w:t>2</w:t>
      </w:r>
      <w:r w:rsidRPr="00C45522">
        <w:fldChar w:fldCharType="end"/>
      </w:r>
      <w:r w:rsidRPr="00C45522">
        <w:t>, se presenta la distribución de cartera por tipo de instrumento del fondo.</w:t>
      </w:r>
    </w:p>
    <w:p w14:paraId="5FDA669B" w14:textId="50B73A6A" w:rsidR="001E6FBA" w:rsidRDefault="00B04CFA" w:rsidP="00B04CFA">
      <w:pPr>
        <w:spacing w:after="120"/>
        <w:jc w:val="center"/>
      </w:pPr>
      <w:r>
        <w:rPr>
          <w:noProof/>
        </w:rPr>
        <w:lastRenderedPageBreak/>
        <w:drawing>
          <wp:inline distT="0" distB="0" distL="0" distR="0" wp14:anchorId="2048D744" wp14:editId="76ACBBC1">
            <wp:extent cx="5760000" cy="2520000"/>
            <wp:effectExtent l="0" t="0" r="0" b="0"/>
            <wp:docPr id="15" name="Gráfico 15">
              <a:extLst xmlns:a="http://schemas.openxmlformats.org/drawingml/2006/main">
                <a:ext uri="{FF2B5EF4-FFF2-40B4-BE49-F238E27FC236}">
                  <a16:creationId xmlns:a16="http://schemas.microsoft.com/office/drawing/2014/main" id="{BAD20009-0857-412C-B94D-6D878DF3C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3804A8" w14:textId="284CC421" w:rsidR="003D70EA" w:rsidRDefault="00FA1EDB" w:rsidP="00FA1EDB">
      <w:pPr>
        <w:pStyle w:val="Descripcin"/>
      </w:pPr>
      <w:bookmarkStart w:id="3" w:name="_Ref82000422"/>
      <w:r w:rsidRPr="007724CB">
        <w:t xml:space="preserve">Ilustración </w:t>
      </w:r>
      <w:r w:rsidRPr="007724CB">
        <w:fldChar w:fldCharType="begin"/>
      </w:r>
      <w:r w:rsidRPr="007724CB">
        <w:instrText>SEQ Ilustración \* ARABIC</w:instrText>
      </w:r>
      <w:r w:rsidRPr="007724CB">
        <w:fldChar w:fldCharType="separate"/>
      </w:r>
      <w:r w:rsidR="00BA37AC">
        <w:rPr>
          <w:noProof/>
        </w:rPr>
        <w:t>2</w:t>
      </w:r>
      <w:r w:rsidRPr="007724CB">
        <w:fldChar w:fldCharType="end"/>
      </w:r>
      <w:bookmarkEnd w:id="3"/>
      <w:r w:rsidRPr="007724CB">
        <w:t>: Distribución de cartera por tipo de instrumento</w:t>
      </w:r>
    </w:p>
    <w:p w14:paraId="07852D79" w14:textId="77777777" w:rsidR="008D444A" w:rsidRPr="008D444A" w:rsidRDefault="008D444A" w:rsidP="008D444A"/>
    <w:p w14:paraId="3D8E683D" w14:textId="4DC0C75C" w:rsidR="00C07E95" w:rsidRPr="007724CB" w:rsidRDefault="00C07E95" w:rsidP="0045368D">
      <w:pPr>
        <w:pStyle w:val="Ttulo"/>
      </w:pPr>
      <w:r w:rsidRPr="007724CB">
        <w:t>Manejo de conflicto de interés</w:t>
      </w:r>
    </w:p>
    <w:p w14:paraId="0D854F22" w14:textId="77777777" w:rsidR="009E4F4E" w:rsidRPr="007724CB" w:rsidRDefault="009E4F4E" w:rsidP="009E4F4E">
      <w:pPr>
        <w:spacing w:after="120"/>
        <w:jc w:val="both"/>
        <w:rPr>
          <w:bCs/>
          <w:iCs/>
          <w:lang w:val="es-ES"/>
        </w:rPr>
      </w:pPr>
      <w:r w:rsidRPr="007724CB">
        <w:rPr>
          <w:bCs/>
          <w:iCs/>
          <w:lang w:val="es-ES"/>
        </w:rPr>
        <w:t>Los eventuales conflictos de interés que pudieren afectar al fondo se encuentran acotados por las disposiciones legales que afectan a este tipo de negocio, las restricciones estipuladas en el reglamento interno y las políticas internas aplicadas por Banchile AGF.</w:t>
      </w:r>
    </w:p>
    <w:p w14:paraId="4E3973AA" w14:textId="77777777" w:rsidR="009E4F4E" w:rsidRPr="007724CB" w:rsidRDefault="009E4F4E" w:rsidP="009E4F4E">
      <w:pPr>
        <w:spacing w:after="120"/>
        <w:jc w:val="both"/>
        <w:rPr>
          <w:bCs/>
          <w:iCs/>
          <w:lang w:val="es-ES"/>
        </w:rPr>
      </w:pPr>
      <w:r w:rsidRPr="007724CB">
        <w:rPr>
          <w:bCs/>
          <w:iCs/>
          <w:lang w:val="es-ES"/>
        </w:rPr>
        <w:t xml:space="preserve">La legislación vigente, en particular la Ley </w:t>
      </w:r>
      <w:proofErr w:type="spellStart"/>
      <w:r w:rsidRPr="007724CB">
        <w:rPr>
          <w:bCs/>
          <w:iCs/>
          <w:lang w:val="es-ES"/>
        </w:rPr>
        <w:t>N°</w:t>
      </w:r>
      <w:proofErr w:type="spellEnd"/>
      <w:r w:rsidRPr="007724CB">
        <w:rPr>
          <w:bCs/>
          <w:iCs/>
          <w:lang w:val="es-ES"/>
        </w:rPr>
        <w:t xml:space="preserve"> 20.712 sobre administración de fondos de terceros y carteras individuales, junto con su reglamento interno, tienden a controlar principalmente los eventuales conflictos de interés que podrían surgir producto de transacciones con personas relacionadas a la administración del fondo. Cabe destacar, que para los fondos de inversión la ley establece la formación de un Comité de Vigilancia, que controla el cumplimiento de las normas vinculadas a este tipo de materias.</w:t>
      </w:r>
    </w:p>
    <w:p w14:paraId="0D170FF6" w14:textId="77777777" w:rsidR="009E4F4E" w:rsidRPr="007724CB" w:rsidRDefault="009E4F4E" w:rsidP="009E4F4E">
      <w:pPr>
        <w:spacing w:after="120"/>
        <w:jc w:val="both"/>
        <w:rPr>
          <w:bCs/>
          <w:iCs/>
          <w:lang w:val="es-ES"/>
        </w:rPr>
      </w:pPr>
      <w:r w:rsidRPr="007724CB">
        <w:rPr>
          <w:bCs/>
          <w:iCs/>
          <w:lang w:val="es-ES"/>
        </w:rPr>
        <w:t>Para efectos del tratamiento y manejo de los conflictos de interés que puedan surgir dentro de las operaciones de la administradora, Banchile AGF posee el “Manual de Tratamiento y Solución de Conflictos de Interés”, en adelante el manual, que se encuentra vigente desde abril de 2008 estableciendo los criterios generales y específicos que norman la forma de resolver las potenciales situaciones que envuelvan superposiciones de intereses.</w:t>
      </w:r>
    </w:p>
    <w:p w14:paraId="48CC039E" w14:textId="77777777" w:rsidR="009E4F4E" w:rsidRPr="007724CB" w:rsidRDefault="009E4F4E" w:rsidP="009E4F4E">
      <w:pPr>
        <w:spacing w:after="120"/>
        <w:jc w:val="both"/>
        <w:rPr>
          <w:bCs/>
          <w:iCs/>
          <w:lang w:val="es-ES"/>
        </w:rPr>
      </w:pPr>
      <w:r w:rsidRPr="007724CB">
        <w:rPr>
          <w:bCs/>
          <w:iCs/>
          <w:lang w:val="es-ES"/>
        </w:rPr>
        <w:t>De forma complementaria, cuenta con un “Código de Ética” que se alinea con el manual antes referido y establece que no es aceptable realizar actos y operaciones por parte de los empleados de Banchile AGF, en los que existan conflictos de intereses entre el empleado, Banchile y sus clientes, dado que ello daña la confianza y transparencia de sus actos y decisiones.</w:t>
      </w:r>
    </w:p>
    <w:p w14:paraId="55B3A787" w14:textId="77777777" w:rsidR="009E4F4E" w:rsidRPr="007724CB" w:rsidRDefault="009E4F4E" w:rsidP="009E4F4E">
      <w:pPr>
        <w:spacing w:after="120"/>
        <w:jc w:val="both"/>
        <w:rPr>
          <w:bCs/>
          <w:iCs/>
          <w:lang w:val="es-ES"/>
        </w:rPr>
      </w:pPr>
      <w:r w:rsidRPr="007724CB">
        <w:rPr>
          <w:bCs/>
          <w:iCs/>
          <w:lang w:val="es-ES"/>
        </w:rPr>
        <w:t xml:space="preserve">En relación a la asignación, mantención y liquidación de inversiones que puedan ser adquiridas por más de un fondo, el manual describe que en la eventualidad que un mismo instrumento de deuda o de capitalización pueda ser considerado susceptible de ser comprado o vendido por más de un fondo, se dará prioridad en la asignación de nuevos títulos a aquel cuya ponderación por tipo de instrumento esté más </w:t>
      </w:r>
      <w:r w:rsidRPr="007724CB">
        <w:rPr>
          <w:bCs/>
          <w:iCs/>
          <w:lang w:val="es-ES"/>
        </w:rPr>
        <w:lastRenderedPageBreak/>
        <w:t>alejada de la establecida como objetivo, según la estrategia de inversión definida por el comité de inversión y los límites señalados en el reglamento interno respectivo.</w:t>
      </w:r>
    </w:p>
    <w:p w14:paraId="682ECBCB" w14:textId="77777777" w:rsidR="009E4F4E" w:rsidRPr="007724CB" w:rsidRDefault="009E4F4E" w:rsidP="009E4F4E">
      <w:pPr>
        <w:spacing w:after="120"/>
        <w:jc w:val="both"/>
        <w:rPr>
          <w:bCs/>
          <w:iCs/>
          <w:lang w:val="es-ES"/>
        </w:rPr>
      </w:pPr>
      <w:r w:rsidRPr="007724CB">
        <w:rPr>
          <w:bCs/>
          <w:iCs/>
          <w:lang w:val="es-ES"/>
        </w:rPr>
        <w:t>Asimismo, tratándose de transacciones de compra y/o venta de un mismo instrumento, se debe procurar que la asignación para cada fondo sea siempre de acuerdo con la tasa promedio ponderada, minimizando cualquier diferencia de precio que pueda existir.</w:t>
      </w:r>
    </w:p>
    <w:p w14:paraId="378CD3EF" w14:textId="77777777" w:rsidR="009E4F4E" w:rsidRPr="007724CB" w:rsidRDefault="009E4F4E" w:rsidP="009E4F4E">
      <w:pPr>
        <w:spacing w:after="120"/>
        <w:jc w:val="both"/>
        <w:rPr>
          <w:bCs/>
          <w:iCs/>
          <w:lang w:val="es-ES"/>
        </w:rPr>
      </w:pPr>
      <w:r w:rsidRPr="007724CB">
        <w:rPr>
          <w:bCs/>
          <w:iCs/>
          <w:lang w:val="es-ES"/>
        </w:rPr>
        <w:t>Por otra parte, cada fondo tiene un administrador asignado, el cual vela por los intereses de sus aportantes vía maximización de los resultados de su portafolio. Esta segregación evita que los administradores pudieren beneficiar a un fondo en desmedro de otro.</w:t>
      </w:r>
    </w:p>
    <w:p w14:paraId="30AB5B41" w14:textId="77777777" w:rsidR="009E4F4E" w:rsidRPr="007724CB" w:rsidRDefault="009E4F4E" w:rsidP="009E4F4E">
      <w:pPr>
        <w:spacing w:after="120"/>
        <w:jc w:val="both"/>
        <w:rPr>
          <w:bCs/>
          <w:iCs/>
          <w:lang w:val="es-ES"/>
        </w:rPr>
      </w:pPr>
      <w:r w:rsidRPr="007724CB">
        <w:rPr>
          <w:bCs/>
          <w:iCs/>
          <w:lang w:val="es-ES"/>
        </w:rPr>
        <w:t xml:space="preserve">Finalmente, existe un encargado de cumplimiento de Banchile que fiscaliza el apego a las normas y disposiciones contenidas dentro del manual, quien informa al directorio y al gerente general de manera inmediata sobre los incumplimientos significativos que se produzcan dentro de la administradora, además de realizar el seguimiento de los mismos y dar resolución adecuada a los conflictos de interés que puedan surgir. </w:t>
      </w:r>
    </w:p>
    <w:p w14:paraId="784A5E95" w14:textId="1B2E2631" w:rsidR="009E4F4E" w:rsidRDefault="009E4F4E" w:rsidP="009E4F4E">
      <w:pPr>
        <w:spacing w:after="120"/>
        <w:jc w:val="both"/>
        <w:rPr>
          <w:lang w:val="es-ES"/>
        </w:rPr>
      </w:pPr>
      <w:r w:rsidRPr="007724CB">
        <w:rPr>
          <w:bCs/>
          <w:iCs/>
          <w:lang w:val="es-ES"/>
        </w:rPr>
        <w:t xml:space="preserve">A juicio de </w:t>
      </w:r>
      <w:r w:rsidRPr="007724CB">
        <w:rPr>
          <w:b/>
          <w:bCs/>
          <w:i/>
          <w:iCs/>
          <w:lang w:val="es-ES"/>
        </w:rPr>
        <w:t>Humphreys</w:t>
      </w:r>
      <w:r w:rsidRPr="007724CB">
        <w:rPr>
          <w:bCs/>
          <w:iCs/>
          <w:lang w:val="es-ES"/>
        </w:rPr>
        <w:t>, las políticas para evitar el surgimiento de eventuales conflictos de interés se encuentran adecuadamente definidas y dentro de los estándares de exigencia que se observan en el mercado local</w:t>
      </w:r>
      <w:r w:rsidRPr="007724CB">
        <w:rPr>
          <w:lang w:val="es-ES"/>
        </w:rPr>
        <w:t>.</w:t>
      </w:r>
    </w:p>
    <w:p w14:paraId="547BF839" w14:textId="77777777" w:rsidR="008D444A" w:rsidRDefault="008D444A" w:rsidP="009E4F4E">
      <w:pPr>
        <w:spacing w:after="120"/>
        <w:jc w:val="both"/>
        <w:rPr>
          <w:lang w:val="es-ES"/>
        </w:rPr>
      </w:pPr>
    </w:p>
    <w:p w14:paraId="580F5F6D" w14:textId="0F53F444" w:rsidR="00C07E95" w:rsidRPr="00443A43" w:rsidRDefault="00C07E95" w:rsidP="00C07E95">
      <w:pPr>
        <w:pStyle w:val="Ttulo"/>
      </w:pPr>
      <w:r w:rsidRPr="00443A43">
        <w:t>Remuneraciones y comisiones</w:t>
      </w:r>
    </w:p>
    <w:p w14:paraId="2245090C" w14:textId="65C799DC" w:rsidR="007A66EA" w:rsidRPr="00E55699" w:rsidRDefault="007A66EA" w:rsidP="007A66EA">
      <w:pPr>
        <w:spacing w:after="120"/>
        <w:jc w:val="both"/>
      </w:pPr>
      <w:r>
        <w:t xml:space="preserve">La remuneración de la administradora atribuida a cada serie se aplica al monto que resulte de deducir del valor neto diario de la serie antes de </w:t>
      </w:r>
      <w:r w:rsidR="1B74BA4A">
        <w:t>registrar</w:t>
      </w:r>
      <w:r>
        <w:t xml:space="preserve">la remuneración, los aportes recibidos antes del cierre de operaciones y de agregar los rescates que corresponda liquidar en el día, esto es, aquellos solicitados antes de dicho cierre. La remuneración antes indicada se devengará diariamente. Las remuneraciones de las series se presentan en la </w:t>
      </w:r>
      <w:r>
        <w:fldChar w:fldCharType="begin"/>
      </w:r>
      <w:r>
        <w:instrText xml:space="preserve"> REF _Ref124849428 \h </w:instrText>
      </w:r>
      <w:r>
        <w:fldChar w:fldCharType="separate"/>
      </w:r>
      <w:r w:rsidR="00BA37AC">
        <w:t xml:space="preserve">Tabla </w:t>
      </w:r>
      <w:r w:rsidR="00BA37AC">
        <w:rPr>
          <w:noProof/>
        </w:rPr>
        <w:t>3</w:t>
      </w:r>
      <w:r>
        <w:fldChar w:fldCharType="end"/>
      </w:r>
      <w:r w:rsidR="001964E5">
        <w:t>.</w:t>
      </w:r>
    </w:p>
    <w:p w14:paraId="67FFB402" w14:textId="0D8C8DA0" w:rsidR="00404A40" w:rsidRDefault="00404A40" w:rsidP="00404A40">
      <w:pPr>
        <w:pStyle w:val="Descripcin"/>
        <w:keepNext/>
      </w:pPr>
      <w:bookmarkStart w:id="4" w:name="_Ref124849428"/>
      <w:r>
        <w:t xml:space="preserve">Tabla </w:t>
      </w:r>
      <w:r w:rsidR="00BA37AC">
        <w:fldChar w:fldCharType="begin"/>
      </w:r>
      <w:r w:rsidR="00BA37AC">
        <w:instrText xml:space="preserve"> SEQ Tabla \* ARABIC </w:instrText>
      </w:r>
      <w:r w:rsidR="00BA37AC">
        <w:fldChar w:fldCharType="separate"/>
      </w:r>
      <w:r w:rsidR="00BA37AC">
        <w:rPr>
          <w:noProof/>
        </w:rPr>
        <w:t>3</w:t>
      </w:r>
      <w:r w:rsidR="00BA37AC">
        <w:rPr>
          <w:noProof/>
        </w:rPr>
        <w:fldChar w:fldCharType="end"/>
      </w:r>
      <w:bookmarkEnd w:id="4"/>
      <w:r>
        <w:t>: Remuneración de las series</w:t>
      </w:r>
    </w:p>
    <w:tbl>
      <w:tblPr>
        <w:tblW w:w="6597" w:type="dxa"/>
        <w:jc w:val="center"/>
        <w:tblCellMar>
          <w:left w:w="0" w:type="dxa"/>
          <w:right w:w="0" w:type="dxa"/>
        </w:tblCellMar>
        <w:tblLook w:val="04A0" w:firstRow="1" w:lastRow="0" w:firstColumn="1" w:lastColumn="0" w:noHBand="0" w:noVBand="1"/>
      </w:tblPr>
      <w:tblGrid>
        <w:gridCol w:w="646"/>
        <w:gridCol w:w="2995"/>
        <w:gridCol w:w="2956"/>
      </w:tblGrid>
      <w:tr w:rsidR="00443A43" w:rsidRPr="00443A43" w14:paraId="16819C20" w14:textId="77777777" w:rsidTr="0095196B">
        <w:trPr>
          <w:trHeight w:val="283"/>
          <w:jc w:val="center"/>
        </w:trPr>
        <w:tc>
          <w:tcPr>
            <w:tcW w:w="0" w:type="auto"/>
            <w:tcBorders>
              <w:top w:val="nil"/>
              <w:left w:val="nil"/>
              <w:bottom w:val="nil"/>
              <w:right w:val="nil"/>
            </w:tcBorders>
            <w:shd w:val="clear" w:color="auto" w:fill="BB1823"/>
            <w:tcMar>
              <w:top w:w="15" w:type="dxa"/>
              <w:left w:w="70" w:type="dxa"/>
              <w:bottom w:w="0" w:type="dxa"/>
              <w:right w:w="70" w:type="dxa"/>
            </w:tcMar>
            <w:vAlign w:val="center"/>
            <w:hideMark/>
          </w:tcPr>
          <w:p w14:paraId="3F3666D7"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b/>
                <w:bCs/>
                <w:color w:val="FFFFFF"/>
                <w:kern w:val="24"/>
                <w:sz w:val="18"/>
                <w:szCs w:val="18"/>
                <w:lang w:eastAsia="es-CL"/>
              </w:rPr>
              <w:t>Serie</w:t>
            </w:r>
          </w:p>
        </w:tc>
        <w:tc>
          <w:tcPr>
            <w:tcW w:w="0" w:type="auto"/>
            <w:tcBorders>
              <w:top w:val="nil"/>
              <w:left w:val="nil"/>
              <w:bottom w:val="nil"/>
              <w:right w:val="nil"/>
            </w:tcBorders>
            <w:shd w:val="clear" w:color="auto" w:fill="BB1823"/>
            <w:tcMar>
              <w:top w:w="15" w:type="dxa"/>
              <w:left w:w="70" w:type="dxa"/>
              <w:bottom w:w="0" w:type="dxa"/>
              <w:right w:w="70" w:type="dxa"/>
            </w:tcMar>
            <w:vAlign w:val="center"/>
            <w:hideMark/>
          </w:tcPr>
          <w:p w14:paraId="25142EDB"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b/>
                <w:bCs/>
                <w:color w:val="FFFFFF"/>
                <w:kern w:val="24"/>
                <w:sz w:val="18"/>
                <w:szCs w:val="18"/>
                <w:lang w:eastAsia="es-CL"/>
              </w:rPr>
              <w:t>Requisitos de ingreso</w:t>
            </w:r>
          </w:p>
        </w:tc>
        <w:tc>
          <w:tcPr>
            <w:tcW w:w="0" w:type="auto"/>
            <w:tcBorders>
              <w:top w:val="nil"/>
              <w:left w:val="nil"/>
              <w:bottom w:val="nil"/>
              <w:right w:val="nil"/>
            </w:tcBorders>
            <w:shd w:val="clear" w:color="auto" w:fill="BB1823"/>
            <w:tcMar>
              <w:top w:w="15" w:type="dxa"/>
              <w:left w:w="70" w:type="dxa"/>
              <w:bottom w:w="0" w:type="dxa"/>
              <w:right w:w="70" w:type="dxa"/>
            </w:tcMar>
            <w:vAlign w:val="center"/>
            <w:hideMark/>
          </w:tcPr>
          <w:p w14:paraId="12565EDA"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b/>
                <w:bCs/>
                <w:color w:val="FFFFFF"/>
                <w:kern w:val="24"/>
                <w:sz w:val="18"/>
                <w:szCs w:val="18"/>
                <w:lang w:eastAsia="es-CL"/>
              </w:rPr>
              <w:t>Remuneración fija (IVA incl.)</w:t>
            </w:r>
          </w:p>
        </w:tc>
      </w:tr>
      <w:tr w:rsidR="00443A43" w:rsidRPr="00443A43" w14:paraId="429A259E" w14:textId="77777777" w:rsidTr="0095196B">
        <w:trPr>
          <w:trHeight w:val="283"/>
          <w:jc w:val="center"/>
        </w:trPr>
        <w:tc>
          <w:tcPr>
            <w:tcW w:w="0" w:type="auto"/>
            <w:tcBorders>
              <w:top w:val="nil"/>
              <w:left w:val="nil"/>
              <w:bottom w:val="dotted" w:sz="8" w:space="0" w:color="E6344B"/>
              <w:right w:val="nil"/>
            </w:tcBorders>
            <w:shd w:val="clear" w:color="auto" w:fill="auto"/>
            <w:tcMar>
              <w:top w:w="15" w:type="dxa"/>
              <w:left w:w="70" w:type="dxa"/>
              <w:bottom w:w="0" w:type="dxa"/>
              <w:right w:w="70" w:type="dxa"/>
            </w:tcMar>
            <w:vAlign w:val="center"/>
            <w:hideMark/>
          </w:tcPr>
          <w:p w14:paraId="054F43AE"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Calibri" w:cs="Calibri"/>
                <w:color w:val="333D6B"/>
                <w:kern w:val="24"/>
                <w:sz w:val="18"/>
                <w:szCs w:val="18"/>
                <w:lang w:eastAsia="es-CL"/>
              </w:rPr>
              <w:t>L</w:t>
            </w:r>
          </w:p>
        </w:tc>
        <w:tc>
          <w:tcPr>
            <w:tcW w:w="0" w:type="auto"/>
            <w:tcBorders>
              <w:top w:val="nil"/>
              <w:left w:val="nil"/>
              <w:bottom w:val="dotted" w:sz="8" w:space="0" w:color="E6344B"/>
              <w:right w:val="nil"/>
            </w:tcBorders>
            <w:shd w:val="clear" w:color="auto" w:fill="auto"/>
            <w:tcMar>
              <w:top w:w="15" w:type="dxa"/>
              <w:left w:w="70" w:type="dxa"/>
              <w:bottom w:w="0" w:type="dxa"/>
              <w:right w:w="70" w:type="dxa"/>
            </w:tcMar>
            <w:vAlign w:val="center"/>
            <w:hideMark/>
          </w:tcPr>
          <w:p w14:paraId="4CE42BB3"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No tiene</w:t>
            </w:r>
          </w:p>
        </w:tc>
        <w:tc>
          <w:tcPr>
            <w:tcW w:w="0" w:type="auto"/>
            <w:tcBorders>
              <w:top w:val="nil"/>
              <w:left w:val="nil"/>
              <w:bottom w:val="dotted" w:sz="8" w:space="0" w:color="E6344B"/>
              <w:right w:val="nil"/>
            </w:tcBorders>
            <w:shd w:val="clear" w:color="auto" w:fill="auto"/>
            <w:tcMar>
              <w:top w:w="15" w:type="dxa"/>
              <w:left w:w="70" w:type="dxa"/>
              <w:bottom w:w="0" w:type="dxa"/>
              <w:right w:w="70" w:type="dxa"/>
            </w:tcMar>
            <w:vAlign w:val="center"/>
            <w:hideMark/>
          </w:tcPr>
          <w:p w14:paraId="686D426C"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1,31%</w:t>
            </w:r>
          </w:p>
        </w:tc>
      </w:tr>
      <w:tr w:rsidR="00443A43" w:rsidRPr="00443A43" w14:paraId="1AD14B52" w14:textId="77777777" w:rsidTr="0095196B">
        <w:trPr>
          <w:trHeight w:val="283"/>
          <w:jc w:val="center"/>
        </w:trPr>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2EA1E5F5"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Calibri" w:cs="Calibri"/>
                <w:color w:val="333D6B"/>
                <w:kern w:val="24"/>
                <w:sz w:val="18"/>
                <w:szCs w:val="18"/>
                <w:lang w:eastAsia="es-CL"/>
              </w:rPr>
              <w:t>M</w:t>
            </w:r>
          </w:p>
        </w:tc>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13FFAD64"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No tiene</w:t>
            </w:r>
          </w:p>
        </w:tc>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52AB9072"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1,79%</w:t>
            </w:r>
          </w:p>
        </w:tc>
      </w:tr>
      <w:tr w:rsidR="00443A43" w:rsidRPr="00443A43" w14:paraId="01638C2D" w14:textId="77777777" w:rsidTr="0095196B">
        <w:trPr>
          <w:trHeight w:val="283"/>
          <w:jc w:val="center"/>
        </w:trPr>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6A433D76"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Calibri" w:cs="Calibri"/>
                <w:color w:val="333D6B"/>
                <w:kern w:val="24"/>
                <w:sz w:val="18"/>
                <w:szCs w:val="18"/>
                <w:lang w:eastAsia="es-CL"/>
              </w:rPr>
              <w:t>P</w:t>
            </w:r>
          </w:p>
        </w:tc>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3099CC4F" w14:textId="47096295"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US$</w:t>
            </w:r>
            <w:r w:rsidR="009A5D50">
              <w:rPr>
                <w:rFonts w:eastAsia="Times New Roman" w:cs="Calibri"/>
                <w:color w:val="333D6B"/>
                <w:kern w:val="24"/>
                <w:sz w:val="18"/>
                <w:szCs w:val="18"/>
                <w:lang w:eastAsia="es-CL"/>
              </w:rPr>
              <w:t xml:space="preserve"> </w:t>
            </w:r>
            <w:r w:rsidRPr="00443A43">
              <w:rPr>
                <w:rFonts w:eastAsia="Times New Roman" w:cs="Calibri"/>
                <w:color w:val="333D6B"/>
                <w:kern w:val="24"/>
                <w:sz w:val="18"/>
                <w:szCs w:val="18"/>
                <w:lang w:eastAsia="es-CL"/>
              </w:rPr>
              <w:t>2.000.000</w:t>
            </w:r>
          </w:p>
        </w:tc>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173FB085"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0,40%</w:t>
            </w:r>
          </w:p>
        </w:tc>
      </w:tr>
      <w:tr w:rsidR="00443A43" w:rsidRPr="00443A43" w14:paraId="09BFB5F8" w14:textId="77777777" w:rsidTr="0095196B">
        <w:trPr>
          <w:trHeight w:val="283"/>
          <w:jc w:val="center"/>
        </w:trPr>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6305541E"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Calibri" w:cs="Calibri"/>
                <w:color w:val="333D6B"/>
                <w:kern w:val="24"/>
                <w:sz w:val="18"/>
                <w:szCs w:val="18"/>
                <w:lang w:eastAsia="es-CL"/>
              </w:rPr>
              <w:t>BCH</w:t>
            </w:r>
          </w:p>
        </w:tc>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5E78DE76" w14:textId="77777777" w:rsidR="00443A43" w:rsidRPr="00443A43" w:rsidRDefault="00443A43" w:rsidP="00443A43">
            <w:pPr>
              <w:jc w:val="center"/>
              <w:rPr>
                <w:rFonts w:ascii="Arial" w:eastAsia="Times New Roman" w:hAnsi="Arial" w:cs="Arial"/>
                <w:color w:val="auto"/>
                <w:sz w:val="36"/>
                <w:szCs w:val="36"/>
                <w:lang w:eastAsia="es-CL"/>
              </w:rPr>
            </w:pPr>
            <w:r w:rsidRPr="00443A43">
              <w:rPr>
                <w:rFonts w:eastAsia="Calibri" w:cs="Calibri"/>
                <w:color w:val="333D6B"/>
                <w:kern w:val="24"/>
                <w:sz w:val="18"/>
                <w:szCs w:val="18"/>
                <w:lang w:eastAsia="es-CL"/>
              </w:rPr>
              <w:t>Fondos administrados por AGF</w:t>
            </w:r>
          </w:p>
        </w:tc>
        <w:tc>
          <w:tcPr>
            <w:tcW w:w="0" w:type="auto"/>
            <w:tcBorders>
              <w:top w:val="dotted" w:sz="8" w:space="0" w:color="E6344B"/>
              <w:left w:val="nil"/>
              <w:bottom w:val="dotted" w:sz="8" w:space="0" w:color="E6344B"/>
              <w:right w:val="nil"/>
            </w:tcBorders>
            <w:shd w:val="clear" w:color="auto" w:fill="auto"/>
            <w:tcMar>
              <w:top w:w="15" w:type="dxa"/>
              <w:left w:w="70" w:type="dxa"/>
              <w:bottom w:w="0" w:type="dxa"/>
              <w:right w:w="70" w:type="dxa"/>
            </w:tcMar>
            <w:vAlign w:val="center"/>
            <w:hideMark/>
          </w:tcPr>
          <w:p w14:paraId="5DFB38D2" w14:textId="047CBF22" w:rsidR="00443A43" w:rsidRPr="00443A43" w:rsidRDefault="00443A43" w:rsidP="00443A43">
            <w:pPr>
              <w:jc w:val="center"/>
              <w:rPr>
                <w:rFonts w:ascii="Arial" w:eastAsia="Times New Roman" w:hAnsi="Arial" w:cs="Arial"/>
                <w:color w:val="auto"/>
                <w:sz w:val="36"/>
                <w:szCs w:val="36"/>
                <w:lang w:eastAsia="es-CL"/>
              </w:rPr>
            </w:pPr>
            <w:r w:rsidRPr="00443A43">
              <w:rPr>
                <w:rFonts w:eastAsia="Times New Roman" w:cs="Calibri"/>
                <w:color w:val="333D6B"/>
                <w:kern w:val="24"/>
                <w:sz w:val="18"/>
                <w:szCs w:val="18"/>
                <w:lang w:eastAsia="es-CL"/>
              </w:rPr>
              <w:t>0,00%</w:t>
            </w:r>
          </w:p>
        </w:tc>
      </w:tr>
    </w:tbl>
    <w:p w14:paraId="58823881" w14:textId="77777777" w:rsidR="007D5341" w:rsidRDefault="007D5341" w:rsidP="00515C88"/>
    <w:p w14:paraId="4DB9437F" w14:textId="44588907" w:rsidR="006A5186" w:rsidRDefault="007D5341" w:rsidP="006A5186">
      <w:pPr>
        <w:spacing w:after="120"/>
        <w:jc w:val="both"/>
      </w:pPr>
      <w:r>
        <w:t xml:space="preserve">La administradora </w:t>
      </w:r>
      <w:r w:rsidR="00B20D7C">
        <w:t>puede en</w:t>
      </w:r>
      <w:r>
        <w:t xml:space="preserve"> todo momento determinar la remuneración de administración que aplicará, de forma independiente, con la sola condición de no sobrepasar la remuneración tope establecida para el fondo. No obstante, la administradora debe llevar un registro del porcentaje de remuneración aplicada diariamente a cada una de las series, el cual </w:t>
      </w:r>
      <w:r w:rsidR="5048D7A8">
        <w:t xml:space="preserve">debe </w:t>
      </w:r>
      <w:r>
        <w:t>estar a disposición de los partícipes que deseen consultarlo.</w:t>
      </w:r>
      <w:r w:rsidR="006A5186">
        <w:t xml:space="preserve"> En relación a la remuneración que ha pagado el fondo, al cierre de 2020 fue por US$ 0,83 millones, mientras que al cierre de 2021 este monto disminuyó a US$ 0,92 millones.</w:t>
      </w:r>
    </w:p>
    <w:p w14:paraId="303714C4" w14:textId="77777777" w:rsidR="00E978E6" w:rsidRDefault="00E978E6" w:rsidP="006A5186">
      <w:pPr>
        <w:spacing w:after="120"/>
        <w:jc w:val="both"/>
      </w:pPr>
    </w:p>
    <w:p w14:paraId="460C43CD" w14:textId="0E27F031" w:rsidR="00E11336" w:rsidRPr="006937DE" w:rsidRDefault="00E11336" w:rsidP="00E11336">
      <w:pPr>
        <w:pStyle w:val="Ttulo"/>
      </w:pPr>
      <w:r w:rsidRPr="006937DE">
        <w:lastRenderedPageBreak/>
        <w:t>Política de endeudamiento</w:t>
      </w:r>
    </w:p>
    <w:p w14:paraId="4712AB19" w14:textId="79FA55BA" w:rsidR="0032566C" w:rsidRDefault="00C5654E" w:rsidP="58225379">
      <w:pPr>
        <w:spacing w:after="120"/>
        <w:jc w:val="both"/>
        <w:rPr>
          <w:lang w:val="es-ES"/>
        </w:rPr>
      </w:pPr>
      <w:r w:rsidRPr="58225379">
        <w:rPr>
          <w:lang w:val="es-ES"/>
        </w:rPr>
        <w:t xml:space="preserve">El reglamento interno del </w:t>
      </w:r>
      <w:r w:rsidR="0032566C" w:rsidRPr="58225379">
        <w:rPr>
          <w:b/>
          <w:bCs/>
          <w:lang w:val="es-ES"/>
        </w:rPr>
        <w:t xml:space="preserve">FM </w:t>
      </w:r>
      <w:proofErr w:type="spellStart"/>
      <w:r w:rsidR="006937DE" w:rsidRPr="58225379">
        <w:rPr>
          <w:b/>
          <w:bCs/>
          <w:lang w:val="es-ES"/>
        </w:rPr>
        <w:t>Latam</w:t>
      </w:r>
      <w:proofErr w:type="spellEnd"/>
      <w:r w:rsidR="006937DE" w:rsidRPr="58225379">
        <w:rPr>
          <w:b/>
          <w:bCs/>
          <w:lang w:val="es-ES"/>
        </w:rPr>
        <w:t xml:space="preserve"> </w:t>
      </w:r>
      <w:proofErr w:type="spellStart"/>
      <w:r w:rsidR="006937DE" w:rsidRPr="58225379">
        <w:rPr>
          <w:b/>
          <w:bCs/>
          <w:lang w:val="es-ES"/>
        </w:rPr>
        <w:t>Corporate</w:t>
      </w:r>
      <w:proofErr w:type="spellEnd"/>
      <w:r w:rsidRPr="58225379">
        <w:rPr>
          <w:lang w:val="es-ES"/>
        </w:rPr>
        <w:t xml:space="preserve"> señala que</w:t>
      </w:r>
      <w:r w:rsidR="000F3F67" w:rsidRPr="58225379">
        <w:rPr>
          <w:lang w:val="es-ES"/>
        </w:rPr>
        <w:t>,</w:t>
      </w:r>
      <w:r w:rsidRPr="58225379">
        <w:rPr>
          <w:lang w:val="es-ES"/>
        </w:rPr>
        <w:t xml:space="preserve"> ocasionalmente la administradora podrá tomar deuda por cuenta del fondo, con el propósito de financiar rescates de cuotas y realizar operaciones autorizadas por la CMF, hasta por un monto equivalente al 20% de su patrimonio y con un plazo de vencimiento de hasta 365 días. </w:t>
      </w:r>
      <w:r w:rsidR="008B542F" w:rsidRPr="58225379">
        <w:rPr>
          <w:lang w:val="es-ES"/>
        </w:rPr>
        <w:t xml:space="preserve">Además, </w:t>
      </w:r>
      <w:r w:rsidR="008B542F">
        <w:t xml:space="preserve">los pasivos totales del </w:t>
      </w:r>
      <w:r w:rsidR="62F868B2">
        <w:t>f</w:t>
      </w:r>
      <w:r w:rsidR="00404A40">
        <w:t>ondo</w:t>
      </w:r>
      <w:r w:rsidR="008B542F">
        <w:t xml:space="preserve"> no podrán exceder del 20% del patrimonio.</w:t>
      </w:r>
      <w:r w:rsidR="008B542F" w:rsidRPr="58225379">
        <w:rPr>
          <w:lang w:val="es-ES"/>
        </w:rPr>
        <w:t xml:space="preserve"> </w:t>
      </w:r>
      <w:r w:rsidRPr="58225379">
        <w:rPr>
          <w:lang w:val="es-ES"/>
        </w:rPr>
        <w:t>De acuerdo con lo informado por la administradora al 31 de diciembre de 20</w:t>
      </w:r>
      <w:r w:rsidR="0032566C" w:rsidRPr="58225379">
        <w:rPr>
          <w:lang w:val="es-ES"/>
        </w:rPr>
        <w:t>2</w:t>
      </w:r>
      <w:r w:rsidR="0026343E" w:rsidRPr="58225379">
        <w:rPr>
          <w:lang w:val="es-ES"/>
        </w:rPr>
        <w:t>1</w:t>
      </w:r>
      <w:r w:rsidRPr="58225379">
        <w:rPr>
          <w:lang w:val="es-ES"/>
        </w:rPr>
        <w:t>, el fondo no presentó obligaciones financieras</w:t>
      </w:r>
      <w:r w:rsidR="0026343E" w:rsidRPr="58225379">
        <w:rPr>
          <w:lang w:val="es-ES"/>
        </w:rPr>
        <w:t xml:space="preserve"> y sus pasivos alcanzan el </w:t>
      </w:r>
      <w:r w:rsidR="00F0121B" w:rsidRPr="58225379">
        <w:rPr>
          <w:lang w:val="es-ES"/>
        </w:rPr>
        <w:t>0,4% del patrimonio.</w:t>
      </w:r>
    </w:p>
    <w:p w14:paraId="13B7B610" w14:textId="77777777" w:rsidR="008D444A" w:rsidRPr="00311D1A" w:rsidRDefault="008D444A" w:rsidP="58225379">
      <w:pPr>
        <w:spacing w:after="120"/>
        <w:jc w:val="both"/>
        <w:rPr>
          <w:highlight w:val="yellow"/>
          <w:lang w:val="es-ES"/>
        </w:rPr>
      </w:pPr>
    </w:p>
    <w:p w14:paraId="569EF059" w14:textId="74C13A88" w:rsidR="00340D36" w:rsidRPr="00DE463B" w:rsidRDefault="00340D36" w:rsidP="00340D36">
      <w:pPr>
        <w:pStyle w:val="Ttulo1"/>
        <w:rPr>
          <w:lang w:val="es-ES"/>
        </w:rPr>
      </w:pPr>
      <w:r w:rsidRPr="00DE463B">
        <w:rPr>
          <w:lang w:val="es-ES"/>
        </w:rPr>
        <w:t>Comportamiento del fondo y las cuotas</w:t>
      </w:r>
    </w:p>
    <w:p w14:paraId="2A7762DF" w14:textId="2088F9F1" w:rsidR="00340D36" w:rsidRPr="009C6F71" w:rsidRDefault="00340D36" w:rsidP="00340D36">
      <w:pPr>
        <w:pStyle w:val="Ttulo"/>
      </w:pPr>
      <w:r w:rsidRPr="009C6F71">
        <w:t>Rentabilidad de las cuotas</w:t>
      </w:r>
    </w:p>
    <w:p w14:paraId="5F053534" w14:textId="0C4FD452" w:rsidR="001A1D9F" w:rsidRDefault="001A1D9F" w:rsidP="001A1D9F">
      <w:pPr>
        <w:spacing w:after="120"/>
        <w:jc w:val="both"/>
        <w:rPr>
          <w:lang w:val="es-ES"/>
        </w:rPr>
      </w:pPr>
      <w:r w:rsidRPr="009C6F71">
        <w:rPr>
          <w:lang w:val="es-ES"/>
        </w:rPr>
        <w:t>La</w:t>
      </w:r>
      <w:r w:rsidR="00035122" w:rsidRPr="009C6F71">
        <w:rPr>
          <w:lang w:val="es-ES"/>
        </w:rPr>
        <w:t xml:space="preserve"> variación del valor cuota</w:t>
      </w:r>
      <w:r w:rsidRPr="009C6F71">
        <w:rPr>
          <w:lang w:val="es-ES"/>
        </w:rPr>
        <w:t xml:space="preserve"> del </w:t>
      </w:r>
      <w:r w:rsidRPr="009C6F71">
        <w:rPr>
          <w:b/>
          <w:bCs/>
          <w:lang w:val="es-ES"/>
        </w:rPr>
        <w:t xml:space="preserve">FM </w:t>
      </w:r>
      <w:proofErr w:type="spellStart"/>
      <w:r w:rsidR="00543F72" w:rsidRPr="009C6F71">
        <w:rPr>
          <w:b/>
          <w:bCs/>
          <w:lang w:val="es-ES"/>
        </w:rPr>
        <w:t>Latam</w:t>
      </w:r>
      <w:proofErr w:type="spellEnd"/>
      <w:r w:rsidR="00543F72" w:rsidRPr="009C6F71">
        <w:rPr>
          <w:b/>
          <w:bCs/>
          <w:lang w:val="es-ES"/>
        </w:rPr>
        <w:t xml:space="preserve"> </w:t>
      </w:r>
      <w:proofErr w:type="spellStart"/>
      <w:r w:rsidR="00543F72" w:rsidRPr="009C6F71">
        <w:rPr>
          <w:b/>
          <w:bCs/>
          <w:lang w:val="es-ES"/>
        </w:rPr>
        <w:t>Corporate</w:t>
      </w:r>
      <w:proofErr w:type="spellEnd"/>
      <w:r w:rsidR="008B108D" w:rsidRPr="009C6F71">
        <w:rPr>
          <w:lang w:val="es-ES"/>
        </w:rPr>
        <w:t xml:space="preserve"> </w:t>
      </w:r>
      <w:r w:rsidR="001B6B48">
        <w:rPr>
          <w:lang w:val="es-ES"/>
        </w:rPr>
        <w:t>durante</w:t>
      </w:r>
      <w:r w:rsidRPr="009C6F71">
        <w:rPr>
          <w:lang w:val="es-ES"/>
        </w:rPr>
        <w:t xml:space="preserve"> los últimos doce meses alcanzó un </w:t>
      </w:r>
      <w:r w:rsidRPr="008E6791">
        <w:rPr>
          <w:lang w:val="es-ES"/>
        </w:rPr>
        <w:t xml:space="preserve">promedio mensual de </w:t>
      </w:r>
      <w:r w:rsidR="00281D09">
        <w:rPr>
          <w:lang w:val="es-ES"/>
        </w:rPr>
        <w:t>-1,08</w:t>
      </w:r>
      <w:r w:rsidRPr="008E6791">
        <w:rPr>
          <w:lang w:val="es-ES"/>
        </w:rPr>
        <w:t xml:space="preserve">% para </w:t>
      </w:r>
      <w:r w:rsidR="0017426C">
        <w:rPr>
          <w:lang w:val="es-ES"/>
        </w:rPr>
        <w:t>la serie L</w:t>
      </w:r>
      <w:r w:rsidR="00F54204">
        <w:rPr>
          <w:lang w:val="es-ES"/>
        </w:rPr>
        <w:t xml:space="preserve"> y -1,04% para la serie M</w:t>
      </w:r>
      <w:r w:rsidR="00351017" w:rsidRPr="008E6791">
        <w:rPr>
          <w:lang w:val="es-ES"/>
        </w:rPr>
        <w:t>.</w:t>
      </w:r>
      <w:r w:rsidRPr="008E6791">
        <w:rPr>
          <w:lang w:val="es-ES"/>
        </w:rPr>
        <w:t xml:space="preserve"> Por otro lado, en el mismo </w:t>
      </w:r>
      <w:r w:rsidR="00584DB3">
        <w:rPr>
          <w:lang w:val="es-ES"/>
        </w:rPr>
        <w:t>periodo</w:t>
      </w:r>
      <w:r w:rsidRPr="008E6791">
        <w:rPr>
          <w:lang w:val="es-ES"/>
        </w:rPr>
        <w:t xml:space="preserve">, la </w:t>
      </w:r>
      <w:r w:rsidR="00584DB3">
        <w:rPr>
          <w:lang w:val="es-ES"/>
        </w:rPr>
        <w:t>variación</w:t>
      </w:r>
      <w:r w:rsidRPr="008E6791">
        <w:rPr>
          <w:lang w:val="es-ES"/>
        </w:rPr>
        <w:t xml:space="preserve"> </w:t>
      </w:r>
      <w:r w:rsidR="00584DB3">
        <w:rPr>
          <w:lang w:val="es-ES"/>
        </w:rPr>
        <w:t>promedio</w:t>
      </w:r>
      <w:r w:rsidRPr="008E6791">
        <w:rPr>
          <w:lang w:val="es-ES"/>
        </w:rPr>
        <w:t xml:space="preserve"> de la Tasa Interbancaria</w:t>
      </w:r>
      <w:r w:rsidR="00584DB3">
        <w:rPr>
          <w:lang w:val="es-ES"/>
        </w:rPr>
        <w:t xml:space="preserve"> </w:t>
      </w:r>
      <w:r w:rsidRPr="008E6791">
        <w:rPr>
          <w:lang w:val="es-ES"/>
        </w:rPr>
        <w:t>para las operaciones</w:t>
      </w:r>
      <w:r w:rsidR="000E1FBA" w:rsidRPr="008E6791">
        <w:rPr>
          <w:lang w:val="es-ES"/>
        </w:rPr>
        <w:t xml:space="preserve"> mayor</w:t>
      </w:r>
      <w:r w:rsidR="00584DB3">
        <w:rPr>
          <w:lang w:val="es-ES"/>
        </w:rPr>
        <w:t>es</w:t>
      </w:r>
      <w:r w:rsidRPr="008E6791">
        <w:rPr>
          <w:lang w:val="es-ES"/>
        </w:rPr>
        <w:t xml:space="preserve"> </w:t>
      </w:r>
      <w:r w:rsidR="000E1FBA" w:rsidRPr="008E6791">
        <w:rPr>
          <w:lang w:val="es-ES"/>
        </w:rPr>
        <w:t>a tres años (en dólares)</w:t>
      </w:r>
      <w:r w:rsidRPr="008E6791">
        <w:rPr>
          <w:lang w:val="es-ES"/>
        </w:rPr>
        <w:t xml:space="preserve"> </w:t>
      </w:r>
      <w:r w:rsidRPr="009E15B4">
        <w:rPr>
          <w:lang w:val="es-ES"/>
        </w:rPr>
        <w:t>ascendió a 0,</w:t>
      </w:r>
      <w:r w:rsidR="003D40BB">
        <w:rPr>
          <w:lang w:val="es-ES"/>
        </w:rPr>
        <w:t>13</w:t>
      </w:r>
      <w:r w:rsidRPr="009E15B4">
        <w:rPr>
          <w:lang w:val="es-ES"/>
        </w:rPr>
        <w:t xml:space="preserve">%, mientras que el mercado comparable de los fondos mutuos tipo </w:t>
      </w:r>
      <w:r w:rsidR="00D27AEE" w:rsidRPr="009E15B4">
        <w:rPr>
          <w:lang w:val="es-ES"/>
        </w:rPr>
        <w:t>3</w:t>
      </w:r>
      <w:r w:rsidRPr="009E15B4">
        <w:rPr>
          <w:lang w:val="es-ES"/>
        </w:rPr>
        <w:t xml:space="preserve"> en </w:t>
      </w:r>
      <w:r w:rsidR="00D27AEE" w:rsidRPr="009E15B4">
        <w:rPr>
          <w:lang w:val="es-ES"/>
        </w:rPr>
        <w:t>dólares</w:t>
      </w:r>
      <w:r w:rsidRPr="009E15B4">
        <w:rPr>
          <w:lang w:val="es-ES"/>
        </w:rPr>
        <w:t xml:space="preserve"> rentó un </w:t>
      </w:r>
      <w:r w:rsidR="00A11D38">
        <w:rPr>
          <w:lang w:val="es-ES"/>
        </w:rPr>
        <w:t>-</w:t>
      </w:r>
      <w:r w:rsidRPr="009E15B4">
        <w:rPr>
          <w:lang w:val="es-ES"/>
        </w:rPr>
        <w:t>0,</w:t>
      </w:r>
      <w:r w:rsidR="00A11D38">
        <w:rPr>
          <w:lang w:val="es-ES"/>
        </w:rPr>
        <w:t>75</w:t>
      </w:r>
      <w:r w:rsidRPr="009E15B4">
        <w:rPr>
          <w:lang w:val="es-ES"/>
        </w:rPr>
        <w:t xml:space="preserve">%. La Ilustración 3 muestra la evolución </w:t>
      </w:r>
      <w:r w:rsidR="00166B6A">
        <w:rPr>
          <w:lang w:val="es-ES"/>
        </w:rPr>
        <w:t xml:space="preserve">del valor cuata </w:t>
      </w:r>
      <w:r w:rsidRPr="009E15B4">
        <w:rPr>
          <w:lang w:val="es-ES"/>
        </w:rPr>
        <w:t xml:space="preserve">del fondo, rendimiento de la TIP y de los fondos tipo </w:t>
      </w:r>
      <w:r w:rsidR="009E15B4" w:rsidRPr="009E15B4">
        <w:rPr>
          <w:lang w:val="es-ES"/>
        </w:rPr>
        <w:t>3</w:t>
      </w:r>
      <w:r w:rsidRPr="009E15B4">
        <w:rPr>
          <w:lang w:val="es-ES"/>
        </w:rPr>
        <w:t xml:space="preserve"> en los últimos </w:t>
      </w:r>
      <w:r w:rsidR="006A1484">
        <w:rPr>
          <w:lang w:val="es-ES"/>
        </w:rPr>
        <w:t>36</w:t>
      </w:r>
      <w:r w:rsidRPr="009E15B4">
        <w:rPr>
          <w:lang w:val="es-ES"/>
        </w:rPr>
        <w:t xml:space="preserve"> meses. Además, la Tabla 4 muestra la </w:t>
      </w:r>
      <w:r w:rsidR="003124CA" w:rsidRPr="009E15B4">
        <w:rPr>
          <w:lang w:val="es-ES"/>
        </w:rPr>
        <w:t>variación</w:t>
      </w:r>
      <w:r w:rsidRPr="009E15B4">
        <w:rPr>
          <w:lang w:val="es-ES"/>
        </w:rPr>
        <w:t xml:space="preserve"> mensual y anualizada de las series, junto con su volatilidad.</w:t>
      </w:r>
    </w:p>
    <w:p w14:paraId="3513445B" w14:textId="6EBCBA45" w:rsidR="002976F8" w:rsidRDefault="002976F8" w:rsidP="002976F8">
      <w:pPr>
        <w:spacing w:after="120"/>
        <w:jc w:val="center"/>
        <w:rPr>
          <w:lang w:val="es-ES"/>
        </w:rPr>
      </w:pPr>
      <w:r>
        <w:rPr>
          <w:noProof/>
        </w:rPr>
        <w:drawing>
          <wp:inline distT="0" distB="0" distL="0" distR="0" wp14:anchorId="5942EBD1" wp14:editId="76F38741">
            <wp:extent cx="5760000" cy="2520000"/>
            <wp:effectExtent l="0" t="0" r="0" b="0"/>
            <wp:docPr id="10" name="Gráfico 10">
              <a:extLst xmlns:a="http://schemas.openxmlformats.org/drawingml/2006/main">
                <a:ext uri="{FF2B5EF4-FFF2-40B4-BE49-F238E27FC236}">
                  <a16:creationId xmlns:a16="http://schemas.microsoft.com/office/drawing/2014/main" id="{88069E08-F642-4704-ADB8-3DF66620F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C582EB" w14:textId="6EC1E2EA" w:rsidR="00350D2A" w:rsidRDefault="00F45C7E" w:rsidP="006D6510">
      <w:pPr>
        <w:pStyle w:val="Descripcin"/>
      </w:pPr>
      <w:bookmarkStart w:id="5" w:name="_Ref82003201"/>
      <w:r w:rsidRPr="0003452A">
        <w:t xml:space="preserve">Ilustración </w:t>
      </w:r>
      <w:r w:rsidRPr="0003452A">
        <w:fldChar w:fldCharType="begin"/>
      </w:r>
      <w:r w:rsidRPr="0003452A">
        <w:instrText>SEQ Ilustración \* ARABIC</w:instrText>
      </w:r>
      <w:r w:rsidRPr="0003452A">
        <w:fldChar w:fldCharType="separate"/>
      </w:r>
      <w:r w:rsidR="00BA37AC">
        <w:rPr>
          <w:noProof/>
        </w:rPr>
        <w:t>3</w:t>
      </w:r>
      <w:r w:rsidRPr="0003452A">
        <w:fldChar w:fldCharType="end"/>
      </w:r>
      <w:bookmarkEnd w:id="5"/>
      <w:r w:rsidRPr="0003452A">
        <w:t>: Rentabilidad de las series en base a la variación del valor cuota (base 100)</w:t>
      </w:r>
    </w:p>
    <w:p w14:paraId="41AA978E" w14:textId="77777777" w:rsidR="00A22A0E" w:rsidRDefault="00A22A0E" w:rsidP="00B9372D">
      <w:pPr>
        <w:pStyle w:val="Ttulo"/>
      </w:pPr>
      <w:r>
        <w:br w:type="page"/>
      </w:r>
    </w:p>
    <w:p w14:paraId="1FA554A7" w14:textId="34DA9C4A" w:rsidR="00B9372D" w:rsidRPr="00A57E26" w:rsidRDefault="00B9372D" w:rsidP="00B9372D">
      <w:pPr>
        <w:pStyle w:val="Ttulo"/>
      </w:pPr>
      <w:r w:rsidRPr="00A57E26">
        <w:lastRenderedPageBreak/>
        <w:t>Niveles de concentración (o diversificación del fondo)</w:t>
      </w:r>
    </w:p>
    <w:p w14:paraId="24AD5F57" w14:textId="77777777" w:rsidR="00B9372D" w:rsidRDefault="00B9372D" w:rsidP="00B9372D">
      <w:pPr>
        <w:spacing w:after="120"/>
        <w:jc w:val="both"/>
      </w:pPr>
      <w:r w:rsidRPr="00A57E26">
        <w:t>El fondo debe cumplir con los requisitos mínimos de diversificación contemplados en el reglamento interno y la Ley N°20.712, de modo que los excesos de inversión no están permitidos y, en caso de que ocurran —ya sea por efecto de fluctuaciones en el mercado o por causa ajena a la administradora— la CMF deberá establecer en cada situación las condiciones y plazos en que deberá procederse a la regularización de las inversiones, sin que el plazo que fije pueda exceder de doce meses.</w:t>
      </w:r>
    </w:p>
    <w:p w14:paraId="692F1F55" w14:textId="72D50C85" w:rsidR="00DF307D" w:rsidRPr="0003452A" w:rsidRDefault="00DF307D" w:rsidP="00DF307D">
      <w:pPr>
        <w:pStyle w:val="Descripcin"/>
        <w:keepNext/>
      </w:pPr>
      <w:bookmarkStart w:id="6" w:name="_Ref77252072"/>
      <w:r w:rsidRPr="0003452A">
        <w:t xml:space="preserve">Tabla </w:t>
      </w:r>
      <w:r w:rsidRPr="0003452A">
        <w:fldChar w:fldCharType="begin"/>
      </w:r>
      <w:r w:rsidRPr="0003452A">
        <w:instrText>SEQ Tabla \* ARABIC</w:instrText>
      </w:r>
      <w:r w:rsidRPr="0003452A">
        <w:fldChar w:fldCharType="separate"/>
      </w:r>
      <w:r w:rsidR="00BA37AC">
        <w:rPr>
          <w:noProof/>
        </w:rPr>
        <w:t>4</w:t>
      </w:r>
      <w:r w:rsidRPr="0003452A">
        <w:fldChar w:fldCharType="end"/>
      </w:r>
      <w:bookmarkEnd w:id="6"/>
      <w:r w:rsidRPr="0003452A">
        <w:t xml:space="preserve">: </w:t>
      </w:r>
      <w:r w:rsidR="00B503D8" w:rsidRPr="0003452A">
        <w:t xml:space="preserve">Variación </w:t>
      </w:r>
      <w:r w:rsidRPr="0003452A">
        <w:t>mensual y anual</w:t>
      </w:r>
    </w:p>
    <w:tbl>
      <w:tblPr>
        <w:tblW w:w="0" w:type="auto"/>
        <w:tblCellMar>
          <w:left w:w="70" w:type="dxa"/>
          <w:right w:w="70" w:type="dxa"/>
        </w:tblCellMar>
        <w:tblLook w:val="04A0" w:firstRow="1" w:lastRow="0" w:firstColumn="1" w:lastColumn="0" w:noHBand="0" w:noVBand="1"/>
      </w:tblPr>
      <w:tblGrid>
        <w:gridCol w:w="758"/>
        <w:gridCol w:w="1183"/>
        <w:gridCol w:w="1240"/>
        <w:gridCol w:w="1041"/>
        <w:gridCol w:w="1006"/>
        <w:gridCol w:w="981"/>
        <w:gridCol w:w="994"/>
        <w:gridCol w:w="1204"/>
        <w:gridCol w:w="1339"/>
      </w:tblGrid>
      <w:tr w:rsidR="00C45DFA" w:rsidRPr="00C45DFA" w14:paraId="33A85CB7" w14:textId="77777777" w:rsidTr="0095196B">
        <w:trPr>
          <w:trHeight w:val="283"/>
        </w:trPr>
        <w:tc>
          <w:tcPr>
            <w:tcW w:w="0" w:type="auto"/>
            <w:tcBorders>
              <w:top w:val="nil"/>
              <w:left w:val="nil"/>
              <w:bottom w:val="nil"/>
              <w:right w:val="nil"/>
            </w:tcBorders>
            <w:shd w:val="clear" w:color="auto" w:fill="auto"/>
            <w:noWrap/>
            <w:vAlign w:val="bottom"/>
            <w:hideMark/>
          </w:tcPr>
          <w:p w14:paraId="10B7FDA3" w14:textId="77777777" w:rsidR="00C45DFA" w:rsidRPr="00C45DFA" w:rsidRDefault="00C45DFA" w:rsidP="00C45DFA">
            <w:pPr>
              <w:rPr>
                <w:rFonts w:ascii="Times New Roman" w:eastAsia="Times New Roman" w:hAnsi="Times New Roman" w:cs="Times New Roman"/>
                <w:color w:val="auto"/>
                <w:sz w:val="20"/>
                <w:lang w:eastAsia="es-CL"/>
              </w:rPr>
            </w:pPr>
          </w:p>
        </w:tc>
        <w:tc>
          <w:tcPr>
            <w:tcW w:w="0" w:type="auto"/>
            <w:gridSpan w:val="8"/>
            <w:tcBorders>
              <w:top w:val="nil"/>
              <w:left w:val="single" w:sz="12" w:space="0" w:color="FFFFFF"/>
              <w:bottom w:val="single" w:sz="12" w:space="0" w:color="FFFFFF"/>
              <w:right w:val="nil"/>
            </w:tcBorders>
            <w:shd w:val="clear" w:color="000000" w:fill="AE1619"/>
            <w:noWrap/>
            <w:vAlign w:val="center"/>
            <w:hideMark/>
          </w:tcPr>
          <w:p w14:paraId="7D8A09D6" w14:textId="20D1196E" w:rsidR="00C45DFA" w:rsidRPr="00C45DFA" w:rsidRDefault="00B5553F" w:rsidP="00C45DFA">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00C45DFA" w:rsidRPr="00C45DFA">
              <w:rPr>
                <w:rFonts w:eastAsia="Times New Roman" w:cs="Calibri"/>
                <w:b/>
                <w:bCs/>
                <w:color w:val="FFFFFF"/>
                <w:sz w:val="16"/>
                <w:szCs w:val="16"/>
                <w:lang w:eastAsia="es-CL"/>
              </w:rPr>
              <w:t xml:space="preserve"> </w:t>
            </w:r>
            <w:r w:rsidR="00D4460D">
              <w:rPr>
                <w:rFonts w:eastAsia="Times New Roman" w:cs="Calibri"/>
                <w:b/>
                <w:bCs/>
                <w:color w:val="FFFFFF"/>
                <w:sz w:val="16"/>
                <w:szCs w:val="16"/>
                <w:lang w:eastAsia="es-CL"/>
              </w:rPr>
              <w:t xml:space="preserve">valor cuota </w:t>
            </w:r>
            <w:r w:rsidR="00C45DFA" w:rsidRPr="00C45DFA">
              <w:rPr>
                <w:rFonts w:eastAsia="Times New Roman" w:cs="Calibri"/>
                <w:b/>
                <w:bCs/>
                <w:color w:val="FFFFFF"/>
                <w:sz w:val="16"/>
                <w:szCs w:val="16"/>
                <w:lang w:eastAsia="es-CL"/>
              </w:rPr>
              <w:t>de series (base valor cuota)</w:t>
            </w:r>
          </w:p>
        </w:tc>
      </w:tr>
      <w:tr w:rsidR="00C45DFA" w:rsidRPr="00C45DFA" w14:paraId="16FA0382" w14:textId="77777777" w:rsidTr="0095196B">
        <w:trPr>
          <w:trHeight w:val="283"/>
        </w:trPr>
        <w:tc>
          <w:tcPr>
            <w:tcW w:w="0" w:type="auto"/>
            <w:tcBorders>
              <w:top w:val="nil"/>
              <w:left w:val="nil"/>
              <w:bottom w:val="nil"/>
              <w:right w:val="nil"/>
            </w:tcBorders>
            <w:shd w:val="clear" w:color="auto" w:fill="auto"/>
            <w:noWrap/>
            <w:vAlign w:val="bottom"/>
            <w:hideMark/>
          </w:tcPr>
          <w:p w14:paraId="5CF9A9A0" w14:textId="77777777" w:rsidR="00C45DFA" w:rsidRPr="00C45DFA" w:rsidRDefault="00C45DFA" w:rsidP="00C45DFA">
            <w:pPr>
              <w:jc w:val="center"/>
              <w:rPr>
                <w:rFonts w:eastAsia="Times New Roman" w:cs="Calibri"/>
                <w:b/>
                <w:bCs/>
                <w:color w:val="FFFFFF"/>
                <w:sz w:val="16"/>
                <w:szCs w:val="16"/>
                <w:lang w:eastAsia="es-CL"/>
              </w:rPr>
            </w:pPr>
          </w:p>
        </w:tc>
        <w:tc>
          <w:tcPr>
            <w:tcW w:w="0" w:type="auto"/>
            <w:tcBorders>
              <w:top w:val="nil"/>
              <w:left w:val="single" w:sz="12" w:space="0" w:color="FFFFFF"/>
              <w:bottom w:val="single" w:sz="12" w:space="0" w:color="FFFFFF"/>
              <w:right w:val="single" w:sz="12" w:space="0" w:color="FFFFFF"/>
            </w:tcBorders>
            <w:shd w:val="clear" w:color="000000" w:fill="AE1619"/>
            <w:vAlign w:val="center"/>
            <w:hideMark/>
          </w:tcPr>
          <w:p w14:paraId="70ED5476" w14:textId="3CB7045B" w:rsidR="00C45DFA" w:rsidRPr="00C45DFA" w:rsidRDefault="00D4460D" w:rsidP="00C45DFA">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Pr="00C45DFA">
              <w:rPr>
                <w:rFonts w:eastAsia="Times New Roman" w:cs="Calibri"/>
                <w:b/>
                <w:bCs/>
                <w:color w:val="FFFFFF"/>
                <w:sz w:val="16"/>
                <w:szCs w:val="16"/>
                <w:lang w:eastAsia="es-CL"/>
              </w:rPr>
              <w:t xml:space="preserve"> </w:t>
            </w:r>
            <w:r w:rsidR="00C45DFA" w:rsidRPr="00C45DFA">
              <w:rPr>
                <w:rFonts w:eastAsia="Times New Roman" w:cs="Calibri"/>
                <w:b/>
                <w:bCs/>
                <w:color w:val="FFFFFF"/>
                <w:sz w:val="16"/>
                <w:szCs w:val="16"/>
                <w:lang w:eastAsia="es-CL"/>
              </w:rPr>
              <w:t>Mes Actual</w:t>
            </w:r>
          </w:p>
        </w:tc>
        <w:tc>
          <w:tcPr>
            <w:tcW w:w="0" w:type="auto"/>
            <w:tcBorders>
              <w:top w:val="nil"/>
              <w:left w:val="nil"/>
              <w:bottom w:val="single" w:sz="12" w:space="0" w:color="FFFFFF"/>
              <w:right w:val="single" w:sz="12" w:space="0" w:color="FFFFFF"/>
            </w:tcBorders>
            <w:shd w:val="clear" w:color="000000" w:fill="AE1619"/>
            <w:vAlign w:val="center"/>
            <w:hideMark/>
          </w:tcPr>
          <w:p w14:paraId="5BCE1DF0" w14:textId="29A584AA" w:rsidR="00C45DFA" w:rsidRPr="00C45DFA" w:rsidRDefault="00D4460D" w:rsidP="00C45DFA">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Pr="00C45DFA">
              <w:rPr>
                <w:rFonts w:eastAsia="Times New Roman" w:cs="Calibri"/>
                <w:b/>
                <w:bCs/>
                <w:color w:val="FFFFFF"/>
                <w:sz w:val="16"/>
                <w:szCs w:val="16"/>
                <w:lang w:eastAsia="es-CL"/>
              </w:rPr>
              <w:t xml:space="preserve"> </w:t>
            </w:r>
            <w:r w:rsidR="00C45DFA" w:rsidRPr="00C45DFA">
              <w:rPr>
                <w:rFonts w:eastAsia="Times New Roman" w:cs="Calibri"/>
                <w:b/>
                <w:bCs/>
                <w:color w:val="FFFFFF"/>
                <w:sz w:val="16"/>
                <w:szCs w:val="16"/>
                <w:lang w:eastAsia="es-CL"/>
              </w:rPr>
              <w:t>Mes Anterior</w:t>
            </w:r>
          </w:p>
        </w:tc>
        <w:tc>
          <w:tcPr>
            <w:tcW w:w="0" w:type="auto"/>
            <w:tcBorders>
              <w:top w:val="nil"/>
              <w:left w:val="nil"/>
              <w:bottom w:val="single" w:sz="12" w:space="0" w:color="FFFFFF"/>
              <w:right w:val="single" w:sz="12" w:space="0" w:color="FFFFFF"/>
            </w:tcBorders>
            <w:shd w:val="clear" w:color="000000" w:fill="AE1619"/>
            <w:vAlign w:val="center"/>
            <w:hideMark/>
          </w:tcPr>
          <w:p w14:paraId="0D5F6FC2" w14:textId="77777777" w:rsidR="00C45DFA" w:rsidRPr="00C45DFA" w:rsidRDefault="00C45DFA" w:rsidP="00C45DFA">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Últimos seis meses</w:t>
            </w:r>
          </w:p>
        </w:tc>
        <w:tc>
          <w:tcPr>
            <w:tcW w:w="0" w:type="auto"/>
            <w:tcBorders>
              <w:top w:val="nil"/>
              <w:left w:val="nil"/>
              <w:bottom w:val="single" w:sz="12" w:space="0" w:color="FFFFFF"/>
              <w:right w:val="single" w:sz="12" w:space="0" w:color="FFFFFF"/>
            </w:tcBorders>
            <w:shd w:val="clear" w:color="000000" w:fill="AE1619"/>
            <w:vAlign w:val="center"/>
            <w:hideMark/>
          </w:tcPr>
          <w:p w14:paraId="214F2AB6" w14:textId="77777777" w:rsidR="00C45DFA" w:rsidRPr="00C45DFA" w:rsidRDefault="00C45DFA" w:rsidP="00C45DFA">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Últimos 12 meses</w:t>
            </w:r>
          </w:p>
        </w:tc>
        <w:tc>
          <w:tcPr>
            <w:tcW w:w="0" w:type="auto"/>
            <w:tcBorders>
              <w:top w:val="nil"/>
              <w:left w:val="nil"/>
              <w:bottom w:val="single" w:sz="12" w:space="0" w:color="FFFFFF"/>
              <w:right w:val="single" w:sz="12" w:space="0" w:color="FFFFFF"/>
            </w:tcBorders>
            <w:shd w:val="clear" w:color="000000" w:fill="AE1619"/>
            <w:vAlign w:val="center"/>
            <w:hideMark/>
          </w:tcPr>
          <w:p w14:paraId="75265BA9" w14:textId="09437056" w:rsidR="00C45DFA" w:rsidRPr="00C45DFA" w:rsidRDefault="00D4460D" w:rsidP="00C45DFA">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Pr="00C45DFA">
              <w:rPr>
                <w:rFonts w:eastAsia="Times New Roman" w:cs="Calibri"/>
                <w:b/>
                <w:bCs/>
                <w:color w:val="FFFFFF"/>
                <w:sz w:val="16"/>
                <w:szCs w:val="16"/>
                <w:lang w:eastAsia="es-CL"/>
              </w:rPr>
              <w:t xml:space="preserve"> </w:t>
            </w:r>
            <w:r w:rsidR="00C45DFA" w:rsidRPr="00C45DFA">
              <w:rPr>
                <w:rFonts w:eastAsia="Times New Roman" w:cs="Calibri"/>
                <w:b/>
                <w:bCs/>
                <w:color w:val="FFFFFF"/>
                <w:sz w:val="16"/>
                <w:szCs w:val="16"/>
                <w:lang w:eastAsia="es-CL"/>
              </w:rPr>
              <w:t>YTD</w:t>
            </w:r>
          </w:p>
        </w:tc>
        <w:tc>
          <w:tcPr>
            <w:tcW w:w="0" w:type="auto"/>
            <w:tcBorders>
              <w:top w:val="nil"/>
              <w:left w:val="nil"/>
              <w:bottom w:val="single" w:sz="12" w:space="0" w:color="FFFFFF"/>
              <w:right w:val="single" w:sz="12" w:space="0" w:color="FFFFFF"/>
            </w:tcBorders>
            <w:shd w:val="clear" w:color="000000" w:fill="AE1619"/>
            <w:vAlign w:val="center"/>
            <w:hideMark/>
          </w:tcPr>
          <w:p w14:paraId="5B97508A" w14:textId="77777777" w:rsidR="00C45DFA" w:rsidRPr="00C45DFA" w:rsidRDefault="00C45DFA" w:rsidP="00C45DFA">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 xml:space="preserve">Des </w:t>
            </w:r>
            <w:proofErr w:type="spellStart"/>
            <w:r w:rsidRPr="00C45DFA">
              <w:rPr>
                <w:rFonts w:eastAsia="Times New Roman" w:cs="Calibri"/>
                <w:b/>
                <w:bCs/>
                <w:color w:val="FFFFFF"/>
                <w:sz w:val="16"/>
                <w:szCs w:val="16"/>
                <w:lang w:eastAsia="es-CL"/>
              </w:rPr>
              <w:t>Est</w:t>
            </w:r>
            <w:proofErr w:type="spellEnd"/>
            <w:r w:rsidRPr="00C45DFA">
              <w:rPr>
                <w:rFonts w:eastAsia="Times New Roman" w:cs="Calibri"/>
                <w:b/>
                <w:bCs/>
                <w:color w:val="FFFFFF"/>
                <w:sz w:val="16"/>
                <w:szCs w:val="16"/>
                <w:lang w:eastAsia="es-CL"/>
              </w:rPr>
              <w:t xml:space="preserve"> (36 meses)</w:t>
            </w:r>
          </w:p>
        </w:tc>
        <w:tc>
          <w:tcPr>
            <w:tcW w:w="0" w:type="auto"/>
            <w:tcBorders>
              <w:top w:val="nil"/>
              <w:left w:val="nil"/>
              <w:bottom w:val="single" w:sz="12" w:space="0" w:color="FFFFFF"/>
              <w:right w:val="single" w:sz="12" w:space="0" w:color="FFFFFF"/>
            </w:tcBorders>
            <w:shd w:val="clear" w:color="000000" w:fill="AE1619"/>
            <w:vAlign w:val="center"/>
            <w:hideMark/>
          </w:tcPr>
          <w:p w14:paraId="56F99892" w14:textId="77777777" w:rsidR="00C45DFA" w:rsidRPr="00C45DFA" w:rsidRDefault="00C45DFA" w:rsidP="00C45DFA">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Promedio (36 meses)</w:t>
            </w:r>
          </w:p>
        </w:tc>
        <w:tc>
          <w:tcPr>
            <w:tcW w:w="0" w:type="auto"/>
            <w:tcBorders>
              <w:top w:val="nil"/>
              <w:left w:val="nil"/>
              <w:bottom w:val="single" w:sz="12" w:space="0" w:color="FFFFFF"/>
              <w:right w:val="single" w:sz="12" w:space="0" w:color="FFFFFF"/>
            </w:tcBorders>
            <w:shd w:val="clear" w:color="000000" w:fill="AE1619"/>
            <w:vAlign w:val="center"/>
            <w:hideMark/>
          </w:tcPr>
          <w:p w14:paraId="405EFC18" w14:textId="77777777" w:rsidR="00C45DFA" w:rsidRPr="00C45DFA" w:rsidRDefault="00C45DFA" w:rsidP="00C45DFA">
            <w:pPr>
              <w:jc w:val="center"/>
              <w:rPr>
                <w:rFonts w:eastAsia="Times New Roman" w:cs="Calibri"/>
                <w:b/>
                <w:bCs/>
                <w:color w:val="FFFFFF"/>
                <w:sz w:val="16"/>
                <w:szCs w:val="16"/>
                <w:lang w:eastAsia="es-CL"/>
              </w:rPr>
            </w:pPr>
            <w:proofErr w:type="spellStart"/>
            <w:r w:rsidRPr="00C45DFA">
              <w:rPr>
                <w:rFonts w:eastAsia="Times New Roman" w:cs="Calibri"/>
                <w:b/>
                <w:bCs/>
                <w:color w:val="FFFFFF"/>
                <w:sz w:val="16"/>
                <w:szCs w:val="16"/>
                <w:lang w:eastAsia="es-CL"/>
              </w:rPr>
              <w:t>Coef</w:t>
            </w:r>
            <w:proofErr w:type="spellEnd"/>
            <w:r w:rsidRPr="00C45DFA">
              <w:rPr>
                <w:rFonts w:eastAsia="Times New Roman" w:cs="Calibri"/>
                <w:b/>
                <w:bCs/>
                <w:color w:val="FFFFFF"/>
                <w:sz w:val="16"/>
                <w:szCs w:val="16"/>
                <w:lang w:eastAsia="es-CL"/>
              </w:rPr>
              <w:t>. Variación (36 meses)</w:t>
            </w:r>
          </w:p>
        </w:tc>
      </w:tr>
      <w:tr w:rsidR="005625C2" w:rsidRPr="00C45DFA" w14:paraId="45A00FD7" w14:textId="77777777" w:rsidTr="0095196B">
        <w:trPr>
          <w:trHeight w:val="283"/>
        </w:trPr>
        <w:tc>
          <w:tcPr>
            <w:tcW w:w="0" w:type="auto"/>
            <w:tcBorders>
              <w:top w:val="single" w:sz="12" w:space="0" w:color="FFFFFF"/>
              <w:left w:val="single" w:sz="12" w:space="0" w:color="FFFFFF"/>
              <w:bottom w:val="single" w:sz="12" w:space="0" w:color="FFFFFF"/>
              <w:right w:val="single" w:sz="12" w:space="0" w:color="FFFFFF"/>
            </w:tcBorders>
            <w:shd w:val="clear" w:color="000000" w:fill="AE1619"/>
            <w:noWrap/>
            <w:vAlign w:val="center"/>
            <w:hideMark/>
          </w:tcPr>
          <w:p w14:paraId="10653D17" w14:textId="77777777" w:rsidR="005625C2" w:rsidRPr="00C45DFA" w:rsidRDefault="005625C2" w:rsidP="005625C2">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L</w:t>
            </w:r>
          </w:p>
        </w:tc>
        <w:tc>
          <w:tcPr>
            <w:tcW w:w="0" w:type="auto"/>
            <w:tcBorders>
              <w:top w:val="nil"/>
              <w:left w:val="nil"/>
              <w:bottom w:val="single" w:sz="12" w:space="0" w:color="FFFFFF"/>
              <w:right w:val="single" w:sz="12" w:space="0" w:color="FFFFFF"/>
            </w:tcBorders>
            <w:shd w:val="clear" w:color="auto" w:fill="auto"/>
            <w:noWrap/>
            <w:vAlign w:val="center"/>
            <w:hideMark/>
          </w:tcPr>
          <w:p w14:paraId="16E54AF0" w14:textId="6E1A38A7" w:rsidR="005625C2" w:rsidRPr="00C45DFA" w:rsidRDefault="005625C2" w:rsidP="005625C2">
            <w:pPr>
              <w:jc w:val="center"/>
              <w:rPr>
                <w:rFonts w:eastAsia="Times New Roman" w:cs="Calibri"/>
                <w:color w:val="333D6B"/>
                <w:sz w:val="16"/>
                <w:szCs w:val="16"/>
                <w:lang w:eastAsia="es-CL"/>
              </w:rPr>
            </w:pPr>
            <w:r w:rsidRPr="00BF4404">
              <w:rPr>
                <w:rFonts w:eastAsia="Times New Roman" w:cs="Calibri"/>
                <w:color w:val="333D6B"/>
                <w:sz w:val="16"/>
                <w:szCs w:val="16"/>
                <w:lang w:eastAsia="es-CL"/>
              </w:rPr>
              <w:t>4,93%</w:t>
            </w:r>
          </w:p>
        </w:tc>
        <w:tc>
          <w:tcPr>
            <w:tcW w:w="0" w:type="auto"/>
            <w:tcBorders>
              <w:top w:val="nil"/>
              <w:left w:val="nil"/>
              <w:bottom w:val="single" w:sz="12" w:space="0" w:color="FFFFFF"/>
              <w:right w:val="single" w:sz="12" w:space="0" w:color="FFFFFF"/>
            </w:tcBorders>
            <w:shd w:val="clear" w:color="auto" w:fill="auto"/>
            <w:noWrap/>
            <w:vAlign w:val="center"/>
            <w:hideMark/>
          </w:tcPr>
          <w:p w14:paraId="757899C6" w14:textId="2F6F29C3"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-0,55%</w:t>
            </w:r>
          </w:p>
        </w:tc>
        <w:tc>
          <w:tcPr>
            <w:tcW w:w="0" w:type="auto"/>
            <w:tcBorders>
              <w:top w:val="nil"/>
              <w:left w:val="nil"/>
              <w:bottom w:val="single" w:sz="12" w:space="0" w:color="FFFFFF"/>
              <w:right w:val="single" w:sz="12" w:space="0" w:color="FFFFFF"/>
            </w:tcBorders>
            <w:shd w:val="clear" w:color="auto" w:fill="auto"/>
            <w:noWrap/>
            <w:vAlign w:val="center"/>
            <w:hideMark/>
          </w:tcPr>
          <w:p w14:paraId="2EB030CD" w14:textId="1CDBB494"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-0,62%</w:t>
            </w:r>
          </w:p>
        </w:tc>
        <w:tc>
          <w:tcPr>
            <w:tcW w:w="0" w:type="auto"/>
            <w:tcBorders>
              <w:top w:val="nil"/>
              <w:left w:val="nil"/>
              <w:bottom w:val="single" w:sz="12" w:space="0" w:color="FFFFFF"/>
              <w:right w:val="single" w:sz="12" w:space="0" w:color="FFFFFF"/>
            </w:tcBorders>
            <w:shd w:val="clear" w:color="auto" w:fill="auto"/>
            <w:noWrap/>
            <w:vAlign w:val="center"/>
            <w:hideMark/>
          </w:tcPr>
          <w:p w14:paraId="384CE34B" w14:textId="4D8EE18E"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-1,08%</w:t>
            </w:r>
          </w:p>
        </w:tc>
        <w:tc>
          <w:tcPr>
            <w:tcW w:w="0" w:type="auto"/>
            <w:tcBorders>
              <w:top w:val="nil"/>
              <w:left w:val="nil"/>
              <w:bottom w:val="single" w:sz="12" w:space="0" w:color="FFFFFF"/>
              <w:right w:val="single" w:sz="12" w:space="0" w:color="FFFFFF"/>
            </w:tcBorders>
            <w:shd w:val="clear" w:color="auto" w:fill="auto"/>
            <w:noWrap/>
            <w:vAlign w:val="center"/>
            <w:hideMark/>
          </w:tcPr>
          <w:p w14:paraId="78B87E46" w14:textId="498C380F"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-12,95%</w:t>
            </w:r>
          </w:p>
        </w:tc>
        <w:tc>
          <w:tcPr>
            <w:tcW w:w="0" w:type="auto"/>
            <w:tcBorders>
              <w:top w:val="nil"/>
              <w:left w:val="nil"/>
              <w:bottom w:val="single" w:sz="12" w:space="0" w:color="FFFFFF"/>
              <w:right w:val="single" w:sz="12" w:space="0" w:color="FFFFFF"/>
            </w:tcBorders>
            <w:shd w:val="clear" w:color="auto" w:fill="auto"/>
            <w:noWrap/>
            <w:vAlign w:val="center"/>
            <w:hideMark/>
          </w:tcPr>
          <w:p w14:paraId="58D12EF3" w14:textId="3BE1DCBA"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2,96%</w:t>
            </w:r>
          </w:p>
        </w:tc>
        <w:tc>
          <w:tcPr>
            <w:tcW w:w="0" w:type="auto"/>
            <w:tcBorders>
              <w:top w:val="nil"/>
              <w:left w:val="nil"/>
              <w:bottom w:val="single" w:sz="12" w:space="0" w:color="FFFFFF"/>
              <w:right w:val="single" w:sz="12" w:space="0" w:color="FFFFFF"/>
            </w:tcBorders>
            <w:shd w:val="clear" w:color="auto" w:fill="auto"/>
            <w:noWrap/>
            <w:vAlign w:val="center"/>
            <w:hideMark/>
          </w:tcPr>
          <w:p w14:paraId="6C03134A" w14:textId="687668F9"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-0,11%</w:t>
            </w:r>
          </w:p>
        </w:tc>
        <w:tc>
          <w:tcPr>
            <w:tcW w:w="0" w:type="auto"/>
            <w:tcBorders>
              <w:top w:val="nil"/>
              <w:left w:val="nil"/>
              <w:bottom w:val="single" w:sz="12" w:space="0" w:color="FFFFFF"/>
              <w:right w:val="single" w:sz="12" w:space="0" w:color="FFFFFF"/>
            </w:tcBorders>
            <w:shd w:val="clear" w:color="auto" w:fill="auto"/>
            <w:noWrap/>
            <w:vAlign w:val="center"/>
            <w:hideMark/>
          </w:tcPr>
          <w:p w14:paraId="4D07F71E" w14:textId="79B41C29"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-26,45</w:t>
            </w:r>
          </w:p>
        </w:tc>
      </w:tr>
      <w:tr w:rsidR="005625C2" w:rsidRPr="00C45DFA" w14:paraId="3AD1B60A" w14:textId="77777777" w:rsidTr="0095196B">
        <w:trPr>
          <w:trHeight w:val="283"/>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288C920F" w14:textId="77777777" w:rsidR="005625C2" w:rsidRPr="00C45DFA" w:rsidRDefault="005625C2" w:rsidP="005625C2">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M</w:t>
            </w:r>
          </w:p>
        </w:tc>
        <w:tc>
          <w:tcPr>
            <w:tcW w:w="0" w:type="auto"/>
            <w:tcBorders>
              <w:top w:val="nil"/>
              <w:left w:val="nil"/>
              <w:bottom w:val="single" w:sz="12" w:space="0" w:color="FFFFFF"/>
              <w:right w:val="single" w:sz="12" w:space="0" w:color="FFFFFF"/>
            </w:tcBorders>
            <w:shd w:val="clear" w:color="auto" w:fill="auto"/>
            <w:noWrap/>
            <w:vAlign w:val="center"/>
            <w:hideMark/>
          </w:tcPr>
          <w:p w14:paraId="33CC12F4" w14:textId="7C185C8C"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4,97%</w:t>
            </w:r>
          </w:p>
        </w:tc>
        <w:tc>
          <w:tcPr>
            <w:tcW w:w="0" w:type="auto"/>
            <w:tcBorders>
              <w:top w:val="nil"/>
              <w:left w:val="nil"/>
              <w:bottom w:val="single" w:sz="12" w:space="0" w:color="FFFFFF"/>
              <w:right w:val="single" w:sz="12" w:space="0" w:color="FFFFFF"/>
            </w:tcBorders>
            <w:shd w:val="clear" w:color="auto" w:fill="auto"/>
            <w:noWrap/>
            <w:vAlign w:val="center"/>
            <w:hideMark/>
          </w:tcPr>
          <w:p w14:paraId="36FFFBC0" w14:textId="0E2BFFCA"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-0,51%</w:t>
            </w:r>
          </w:p>
        </w:tc>
        <w:tc>
          <w:tcPr>
            <w:tcW w:w="0" w:type="auto"/>
            <w:tcBorders>
              <w:top w:val="nil"/>
              <w:left w:val="nil"/>
              <w:bottom w:val="single" w:sz="12" w:space="0" w:color="FFFFFF"/>
              <w:right w:val="single" w:sz="12" w:space="0" w:color="FFFFFF"/>
            </w:tcBorders>
            <w:shd w:val="clear" w:color="auto" w:fill="auto"/>
            <w:noWrap/>
            <w:vAlign w:val="center"/>
            <w:hideMark/>
          </w:tcPr>
          <w:p w14:paraId="1569B7D0" w14:textId="39FA5AFB"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-0,58%</w:t>
            </w:r>
          </w:p>
        </w:tc>
        <w:tc>
          <w:tcPr>
            <w:tcW w:w="0" w:type="auto"/>
            <w:tcBorders>
              <w:top w:val="nil"/>
              <w:left w:val="nil"/>
              <w:bottom w:val="single" w:sz="12" w:space="0" w:color="FFFFFF"/>
              <w:right w:val="single" w:sz="12" w:space="0" w:color="FFFFFF"/>
            </w:tcBorders>
            <w:shd w:val="clear" w:color="auto" w:fill="auto"/>
            <w:noWrap/>
            <w:vAlign w:val="center"/>
            <w:hideMark/>
          </w:tcPr>
          <w:p w14:paraId="13BD6FD8" w14:textId="768BE554"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-1,04%</w:t>
            </w:r>
          </w:p>
        </w:tc>
        <w:tc>
          <w:tcPr>
            <w:tcW w:w="0" w:type="auto"/>
            <w:tcBorders>
              <w:top w:val="nil"/>
              <w:left w:val="nil"/>
              <w:bottom w:val="single" w:sz="12" w:space="0" w:color="FFFFFF"/>
              <w:right w:val="single" w:sz="12" w:space="0" w:color="FFFFFF"/>
            </w:tcBorders>
            <w:shd w:val="clear" w:color="auto" w:fill="auto"/>
            <w:noWrap/>
            <w:vAlign w:val="center"/>
            <w:hideMark/>
          </w:tcPr>
          <w:p w14:paraId="65787DAB" w14:textId="7463A940"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-12,57%</w:t>
            </w:r>
          </w:p>
        </w:tc>
        <w:tc>
          <w:tcPr>
            <w:tcW w:w="0" w:type="auto"/>
            <w:tcBorders>
              <w:top w:val="nil"/>
              <w:left w:val="nil"/>
              <w:bottom w:val="single" w:sz="12" w:space="0" w:color="FFFFFF"/>
              <w:right w:val="single" w:sz="12" w:space="0" w:color="FFFFFF"/>
            </w:tcBorders>
            <w:shd w:val="clear" w:color="auto" w:fill="auto"/>
            <w:noWrap/>
            <w:vAlign w:val="center"/>
            <w:hideMark/>
          </w:tcPr>
          <w:p w14:paraId="5A79FEE8" w14:textId="561E69CA"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3,07%</w:t>
            </w:r>
          </w:p>
        </w:tc>
        <w:tc>
          <w:tcPr>
            <w:tcW w:w="0" w:type="auto"/>
            <w:tcBorders>
              <w:top w:val="nil"/>
              <w:left w:val="nil"/>
              <w:bottom w:val="single" w:sz="12" w:space="0" w:color="FFFFFF"/>
              <w:right w:val="single" w:sz="12" w:space="0" w:color="FFFFFF"/>
            </w:tcBorders>
            <w:shd w:val="clear" w:color="auto" w:fill="auto"/>
            <w:noWrap/>
            <w:vAlign w:val="center"/>
            <w:hideMark/>
          </w:tcPr>
          <w:p w14:paraId="1534F8CE" w14:textId="4899B20F"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-0,18%</w:t>
            </w:r>
          </w:p>
        </w:tc>
        <w:tc>
          <w:tcPr>
            <w:tcW w:w="0" w:type="auto"/>
            <w:tcBorders>
              <w:top w:val="nil"/>
              <w:left w:val="nil"/>
              <w:bottom w:val="single" w:sz="12" w:space="0" w:color="FFFFFF"/>
              <w:right w:val="single" w:sz="12" w:space="0" w:color="FFFFFF"/>
            </w:tcBorders>
            <w:shd w:val="clear" w:color="auto" w:fill="auto"/>
            <w:noWrap/>
            <w:vAlign w:val="center"/>
            <w:hideMark/>
          </w:tcPr>
          <w:p w14:paraId="2C39A73E" w14:textId="3065CE27"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-17,34</w:t>
            </w:r>
          </w:p>
        </w:tc>
      </w:tr>
      <w:tr w:rsidR="005625C2" w:rsidRPr="00C45DFA" w14:paraId="7CF31AE7" w14:textId="77777777" w:rsidTr="0095196B">
        <w:trPr>
          <w:trHeight w:val="283"/>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1A41602C" w14:textId="77777777" w:rsidR="005625C2" w:rsidRPr="00C45DFA" w:rsidRDefault="005625C2" w:rsidP="005625C2">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P</w:t>
            </w:r>
          </w:p>
        </w:tc>
        <w:tc>
          <w:tcPr>
            <w:tcW w:w="0" w:type="auto"/>
            <w:tcBorders>
              <w:top w:val="nil"/>
              <w:left w:val="nil"/>
              <w:bottom w:val="single" w:sz="12" w:space="0" w:color="FFFFFF"/>
              <w:right w:val="single" w:sz="12" w:space="0" w:color="FFFFFF"/>
            </w:tcBorders>
            <w:shd w:val="clear" w:color="auto" w:fill="auto"/>
            <w:noWrap/>
            <w:vAlign w:val="center"/>
            <w:hideMark/>
          </w:tcPr>
          <w:p w14:paraId="591336D9" w14:textId="76970613"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512C0BE1" w14:textId="5F0A9424"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21D0A9E8" w14:textId="001568DE"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5D12E3B9" w14:textId="4325C911"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38B7241F" w14:textId="4E88A23C"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64F19306" w14:textId="19608F0D"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22A23E40" w14:textId="03A1C8E0"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453AD466" w14:textId="0334E234"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w:t>
            </w:r>
          </w:p>
        </w:tc>
      </w:tr>
      <w:tr w:rsidR="005625C2" w:rsidRPr="00C45DFA" w14:paraId="383732DB" w14:textId="77777777" w:rsidTr="0095196B">
        <w:trPr>
          <w:trHeight w:val="283"/>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155C058F" w14:textId="77777777" w:rsidR="005625C2" w:rsidRPr="00C45DFA" w:rsidRDefault="005625C2" w:rsidP="005625C2">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BCH</w:t>
            </w:r>
          </w:p>
        </w:tc>
        <w:tc>
          <w:tcPr>
            <w:tcW w:w="0" w:type="auto"/>
            <w:tcBorders>
              <w:top w:val="nil"/>
              <w:left w:val="nil"/>
              <w:bottom w:val="single" w:sz="12" w:space="0" w:color="FFFFFF"/>
              <w:right w:val="single" w:sz="12" w:space="0" w:color="FFFFFF"/>
            </w:tcBorders>
            <w:shd w:val="clear" w:color="auto" w:fill="auto"/>
            <w:noWrap/>
            <w:vAlign w:val="center"/>
            <w:hideMark/>
          </w:tcPr>
          <w:p w14:paraId="064DF952" w14:textId="5C12B53F"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7862855E" w14:textId="6677B146"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76A36B65" w14:textId="4F02449C"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765BF275" w14:textId="4AFD50F3"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40715A94" w14:textId="5FD22247"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57ACC524" w14:textId="2E7A1AB2"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1A13ED11" w14:textId="5BC728B2"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097A69BD" w14:textId="6F3E16BE"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w:t>
            </w:r>
          </w:p>
        </w:tc>
      </w:tr>
      <w:tr w:rsidR="005625C2" w:rsidRPr="00C45DFA" w14:paraId="2BBBC4FB" w14:textId="77777777" w:rsidTr="0095196B">
        <w:trPr>
          <w:trHeight w:val="283"/>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38A6C211" w14:textId="77777777" w:rsidR="005625C2" w:rsidRPr="00C45DFA" w:rsidRDefault="005625C2" w:rsidP="005625C2">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TIP</w:t>
            </w:r>
          </w:p>
        </w:tc>
        <w:tc>
          <w:tcPr>
            <w:tcW w:w="0" w:type="auto"/>
            <w:tcBorders>
              <w:top w:val="nil"/>
              <w:left w:val="nil"/>
              <w:bottom w:val="single" w:sz="12" w:space="0" w:color="FFFFFF"/>
              <w:right w:val="single" w:sz="12" w:space="0" w:color="FFFFFF"/>
            </w:tcBorders>
            <w:shd w:val="clear" w:color="auto" w:fill="auto"/>
            <w:noWrap/>
            <w:vAlign w:val="center"/>
            <w:hideMark/>
          </w:tcPr>
          <w:p w14:paraId="706FDD17" w14:textId="4651BC05"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0,22%</w:t>
            </w:r>
          </w:p>
        </w:tc>
        <w:tc>
          <w:tcPr>
            <w:tcW w:w="0" w:type="auto"/>
            <w:tcBorders>
              <w:top w:val="nil"/>
              <w:left w:val="nil"/>
              <w:bottom w:val="single" w:sz="12" w:space="0" w:color="FFFFFF"/>
              <w:right w:val="single" w:sz="12" w:space="0" w:color="FFFFFF"/>
            </w:tcBorders>
            <w:shd w:val="clear" w:color="auto" w:fill="auto"/>
            <w:noWrap/>
            <w:vAlign w:val="center"/>
            <w:hideMark/>
          </w:tcPr>
          <w:p w14:paraId="0E81B02C" w14:textId="433BA3EF"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0,22%</w:t>
            </w:r>
          </w:p>
        </w:tc>
        <w:tc>
          <w:tcPr>
            <w:tcW w:w="0" w:type="auto"/>
            <w:tcBorders>
              <w:top w:val="nil"/>
              <w:left w:val="nil"/>
              <w:bottom w:val="single" w:sz="12" w:space="0" w:color="FFFFFF"/>
              <w:right w:val="single" w:sz="12" w:space="0" w:color="FFFFFF"/>
            </w:tcBorders>
            <w:shd w:val="clear" w:color="auto" w:fill="auto"/>
            <w:noWrap/>
            <w:vAlign w:val="center"/>
            <w:hideMark/>
          </w:tcPr>
          <w:p w14:paraId="2050425B" w14:textId="2365267E"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0,22%</w:t>
            </w:r>
          </w:p>
        </w:tc>
        <w:tc>
          <w:tcPr>
            <w:tcW w:w="0" w:type="auto"/>
            <w:tcBorders>
              <w:top w:val="nil"/>
              <w:left w:val="nil"/>
              <w:bottom w:val="single" w:sz="12" w:space="0" w:color="FFFFFF"/>
              <w:right w:val="single" w:sz="12" w:space="0" w:color="FFFFFF"/>
            </w:tcBorders>
            <w:shd w:val="clear" w:color="auto" w:fill="auto"/>
            <w:noWrap/>
            <w:vAlign w:val="center"/>
            <w:hideMark/>
          </w:tcPr>
          <w:p w14:paraId="420E63A4" w14:textId="795126F5"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0,13%</w:t>
            </w:r>
          </w:p>
        </w:tc>
        <w:tc>
          <w:tcPr>
            <w:tcW w:w="0" w:type="auto"/>
            <w:tcBorders>
              <w:top w:val="nil"/>
              <w:left w:val="nil"/>
              <w:bottom w:val="single" w:sz="12" w:space="0" w:color="FFFFFF"/>
              <w:right w:val="single" w:sz="12" w:space="0" w:color="FFFFFF"/>
            </w:tcBorders>
            <w:shd w:val="clear" w:color="auto" w:fill="auto"/>
            <w:noWrap/>
            <w:vAlign w:val="center"/>
            <w:hideMark/>
          </w:tcPr>
          <w:p w14:paraId="3D116877" w14:textId="628E82EE"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0,87%</w:t>
            </w:r>
          </w:p>
        </w:tc>
        <w:tc>
          <w:tcPr>
            <w:tcW w:w="0" w:type="auto"/>
            <w:tcBorders>
              <w:top w:val="nil"/>
              <w:left w:val="nil"/>
              <w:bottom w:val="single" w:sz="12" w:space="0" w:color="FFFFFF"/>
              <w:right w:val="single" w:sz="12" w:space="0" w:color="FFFFFF"/>
            </w:tcBorders>
            <w:shd w:val="clear" w:color="auto" w:fill="auto"/>
            <w:noWrap/>
            <w:vAlign w:val="center"/>
            <w:hideMark/>
          </w:tcPr>
          <w:p w14:paraId="5FE1678F" w14:textId="4520024B"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0,09%</w:t>
            </w:r>
          </w:p>
        </w:tc>
        <w:tc>
          <w:tcPr>
            <w:tcW w:w="0" w:type="auto"/>
            <w:tcBorders>
              <w:top w:val="nil"/>
              <w:left w:val="nil"/>
              <w:bottom w:val="single" w:sz="12" w:space="0" w:color="FFFFFF"/>
              <w:right w:val="single" w:sz="12" w:space="0" w:color="FFFFFF"/>
            </w:tcBorders>
            <w:shd w:val="clear" w:color="auto" w:fill="auto"/>
            <w:noWrap/>
            <w:vAlign w:val="center"/>
            <w:hideMark/>
          </w:tcPr>
          <w:p w14:paraId="654EB9FB" w14:textId="691B8A17"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0,17%</w:t>
            </w:r>
          </w:p>
        </w:tc>
        <w:tc>
          <w:tcPr>
            <w:tcW w:w="0" w:type="auto"/>
            <w:tcBorders>
              <w:top w:val="nil"/>
              <w:left w:val="nil"/>
              <w:bottom w:val="single" w:sz="12" w:space="0" w:color="FFFFFF"/>
              <w:right w:val="single" w:sz="12" w:space="0" w:color="FFFFFF"/>
            </w:tcBorders>
            <w:shd w:val="clear" w:color="auto" w:fill="auto"/>
            <w:noWrap/>
            <w:vAlign w:val="center"/>
            <w:hideMark/>
          </w:tcPr>
          <w:p w14:paraId="1841B4A4" w14:textId="4062A029"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54,51%</w:t>
            </w:r>
          </w:p>
        </w:tc>
      </w:tr>
      <w:tr w:rsidR="005625C2" w:rsidRPr="00C45DFA" w14:paraId="7DB109B3" w14:textId="77777777" w:rsidTr="0095196B">
        <w:trPr>
          <w:trHeight w:val="283"/>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5D809D02" w14:textId="77777777" w:rsidR="005625C2" w:rsidRPr="00C45DFA" w:rsidRDefault="005625C2" w:rsidP="005625C2">
            <w:pPr>
              <w:jc w:val="center"/>
              <w:rPr>
                <w:rFonts w:eastAsia="Times New Roman" w:cs="Calibri"/>
                <w:b/>
                <w:bCs/>
                <w:color w:val="FFFFFF"/>
                <w:sz w:val="16"/>
                <w:szCs w:val="16"/>
                <w:lang w:eastAsia="es-CL"/>
              </w:rPr>
            </w:pPr>
            <w:r w:rsidRPr="00C45DFA">
              <w:rPr>
                <w:rFonts w:eastAsia="Times New Roman" w:cs="Calibri"/>
                <w:b/>
                <w:bCs/>
                <w:color w:val="FFFFFF"/>
                <w:sz w:val="16"/>
                <w:szCs w:val="16"/>
                <w:lang w:eastAsia="es-CL"/>
              </w:rPr>
              <w:t>Tipo FM</w:t>
            </w:r>
          </w:p>
        </w:tc>
        <w:tc>
          <w:tcPr>
            <w:tcW w:w="0" w:type="auto"/>
            <w:tcBorders>
              <w:top w:val="nil"/>
              <w:left w:val="nil"/>
              <w:bottom w:val="single" w:sz="12" w:space="0" w:color="FFFFFF"/>
              <w:right w:val="single" w:sz="12" w:space="0" w:color="FFFFFF"/>
            </w:tcBorders>
            <w:shd w:val="clear" w:color="auto" w:fill="auto"/>
            <w:noWrap/>
            <w:vAlign w:val="center"/>
            <w:hideMark/>
          </w:tcPr>
          <w:p w14:paraId="2A144F0A" w14:textId="2D533FA1"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1,61%</w:t>
            </w:r>
          </w:p>
        </w:tc>
        <w:tc>
          <w:tcPr>
            <w:tcW w:w="0" w:type="auto"/>
            <w:tcBorders>
              <w:top w:val="nil"/>
              <w:left w:val="nil"/>
              <w:bottom w:val="single" w:sz="12" w:space="0" w:color="FFFFFF"/>
              <w:right w:val="single" w:sz="12" w:space="0" w:color="FFFFFF"/>
            </w:tcBorders>
            <w:shd w:val="clear" w:color="auto" w:fill="auto"/>
            <w:noWrap/>
            <w:vAlign w:val="center"/>
            <w:hideMark/>
          </w:tcPr>
          <w:p w14:paraId="6828E907" w14:textId="008C7C50"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-0,18%</w:t>
            </w:r>
          </w:p>
        </w:tc>
        <w:tc>
          <w:tcPr>
            <w:tcW w:w="0" w:type="auto"/>
            <w:tcBorders>
              <w:top w:val="nil"/>
              <w:left w:val="nil"/>
              <w:bottom w:val="single" w:sz="12" w:space="0" w:color="FFFFFF"/>
              <w:right w:val="single" w:sz="12" w:space="0" w:color="FFFFFF"/>
            </w:tcBorders>
            <w:shd w:val="clear" w:color="auto" w:fill="auto"/>
            <w:noWrap/>
            <w:vAlign w:val="center"/>
            <w:hideMark/>
          </w:tcPr>
          <w:p w14:paraId="0480ACCE" w14:textId="48603CCE"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-0,70%</w:t>
            </w:r>
          </w:p>
        </w:tc>
        <w:tc>
          <w:tcPr>
            <w:tcW w:w="0" w:type="auto"/>
            <w:tcBorders>
              <w:top w:val="nil"/>
              <w:left w:val="nil"/>
              <w:bottom w:val="single" w:sz="12" w:space="0" w:color="FFFFFF"/>
              <w:right w:val="single" w:sz="12" w:space="0" w:color="FFFFFF"/>
            </w:tcBorders>
            <w:shd w:val="clear" w:color="auto" w:fill="auto"/>
            <w:noWrap/>
            <w:vAlign w:val="center"/>
            <w:hideMark/>
          </w:tcPr>
          <w:p w14:paraId="57720698" w14:textId="1A354E01"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-0,75%</w:t>
            </w:r>
          </w:p>
        </w:tc>
        <w:tc>
          <w:tcPr>
            <w:tcW w:w="0" w:type="auto"/>
            <w:tcBorders>
              <w:top w:val="nil"/>
              <w:left w:val="nil"/>
              <w:bottom w:val="single" w:sz="12" w:space="0" w:color="FFFFFF"/>
              <w:right w:val="single" w:sz="12" w:space="0" w:color="FFFFFF"/>
            </w:tcBorders>
            <w:shd w:val="clear" w:color="auto" w:fill="auto"/>
            <w:noWrap/>
            <w:vAlign w:val="center"/>
            <w:hideMark/>
          </w:tcPr>
          <w:p w14:paraId="4C73D20E" w14:textId="7ADC75FA"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-1,15%</w:t>
            </w:r>
          </w:p>
        </w:tc>
        <w:tc>
          <w:tcPr>
            <w:tcW w:w="0" w:type="auto"/>
            <w:tcBorders>
              <w:top w:val="nil"/>
              <w:left w:val="nil"/>
              <w:bottom w:val="single" w:sz="12" w:space="0" w:color="FFFFFF"/>
              <w:right w:val="single" w:sz="12" w:space="0" w:color="FFFFFF"/>
            </w:tcBorders>
            <w:shd w:val="clear" w:color="auto" w:fill="auto"/>
            <w:noWrap/>
            <w:vAlign w:val="center"/>
            <w:hideMark/>
          </w:tcPr>
          <w:p w14:paraId="124E3EF3" w14:textId="7D271FB3"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1,08%</w:t>
            </w:r>
          </w:p>
        </w:tc>
        <w:tc>
          <w:tcPr>
            <w:tcW w:w="0" w:type="auto"/>
            <w:tcBorders>
              <w:top w:val="nil"/>
              <w:left w:val="nil"/>
              <w:bottom w:val="single" w:sz="12" w:space="0" w:color="FFFFFF"/>
              <w:right w:val="single" w:sz="12" w:space="0" w:color="FFFFFF"/>
            </w:tcBorders>
            <w:shd w:val="clear" w:color="auto" w:fill="auto"/>
            <w:noWrap/>
            <w:vAlign w:val="center"/>
            <w:hideMark/>
          </w:tcPr>
          <w:p w14:paraId="5ED1BE47" w14:textId="2A11D4D1"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-0,44%</w:t>
            </w:r>
          </w:p>
        </w:tc>
        <w:tc>
          <w:tcPr>
            <w:tcW w:w="0" w:type="auto"/>
            <w:tcBorders>
              <w:top w:val="nil"/>
              <w:left w:val="nil"/>
              <w:bottom w:val="single" w:sz="12" w:space="0" w:color="FFFFFF"/>
              <w:right w:val="single" w:sz="12" w:space="0" w:color="FFFFFF"/>
            </w:tcBorders>
            <w:shd w:val="clear" w:color="auto" w:fill="auto"/>
            <w:noWrap/>
            <w:vAlign w:val="center"/>
            <w:hideMark/>
          </w:tcPr>
          <w:p w14:paraId="2F7D8701" w14:textId="7DF45F41" w:rsidR="005625C2" w:rsidRPr="00C45DFA" w:rsidRDefault="005625C2" w:rsidP="005625C2">
            <w:pPr>
              <w:jc w:val="center"/>
              <w:rPr>
                <w:rFonts w:eastAsia="Times New Roman" w:cs="Calibri"/>
                <w:color w:val="333D6B"/>
                <w:sz w:val="16"/>
                <w:szCs w:val="16"/>
                <w:lang w:eastAsia="es-CL"/>
              </w:rPr>
            </w:pPr>
            <w:r>
              <w:rPr>
                <w:rFonts w:cs="Calibri"/>
                <w:color w:val="333D6B"/>
                <w:sz w:val="16"/>
                <w:szCs w:val="16"/>
              </w:rPr>
              <w:t>-245,98%</w:t>
            </w:r>
          </w:p>
        </w:tc>
      </w:tr>
    </w:tbl>
    <w:p w14:paraId="12D0B1A1" w14:textId="77777777" w:rsidR="00B8369B" w:rsidRDefault="00B8369B" w:rsidP="00DD51FB">
      <w:pPr>
        <w:rPr>
          <w:b/>
          <w:bCs/>
          <w:highlight w:val="yellow"/>
        </w:rPr>
      </w:pPr>
    </w:p>
    <w:tbl>
      <w:tblPr>
        <w:tblW w:w="9545" w:type="dxa"/>
        <w:jc w:val="center"/>
        <w:tblCellMar>
          <w:left w:w="70" w:type="dxa"/>
          <w:right w:w="70" w:type="dxa"/>
        </w:tblCellMar>
        <w:tblLook w:val="04A0" w:firstRow="1" w:lastRow="0" w:firstColumn="1" w:lastColumn="0" w:noHBand="0" w:noVBand="1"/>
      </w:tblPr>
      <w:tblGrid>
        <w:gridCol w:w="758"/>
        <w:gridCol w:w="1585"/>
        <w:gridCol w:w="1710"/>
        <w:gridCol w:w="1416"/>
        <w:gridCol w:w="1341"/>
        <w:gridCol w:w="1142"/>
        <w:gridCol w:w="1593"/>
      </w:tblGrid>
      <w:tr w:rsidR="003457B9" w:rsidRPr="003457B9" w14:paraId="2B6CB86A" w14:textId="77777777" w:rsidTr="0095196B">
        <w:trPr>
          <w:trHeight w:val="283"/>
          <w:jc w:val="center"/>
        </w:trPr>
        <w:tc>
          <w:tcPr>
            <w:tcW w:w="0" w:type="auto"/>
            <w:tcBorders>
              <w:top w:val="nil"/>
              <w:left w:val="nil"/>
              <w:bottom w:val="nil"/>
              <w:right w:val="nil"/>
            </w:tcBorders>
            <w:shd w:val="clear" w:color="auto" w:fill="auto"/>
            <w:noWrap/>
            <w:vAlign w:val="bottom"/>
            <w:hideMark/>
          </w:tcPr>
          <w:p w14:paraId="30862CEE" w14:textId="77777777" w:rsidR="003457B9" w:rsidRPr="003457B9" w:rsidRDefault="003457B9" w:rsidP="00A94754">
            <w:pPr>
              <w:jc w:val="center"/>
              <w:rPr>
                <w:rFonts w:ascii="Times New Roman" w:eastAsia="Times New Roman" w:hAnsi="Times New Roman" w:cs="Times New Roman"/>
                <w:color w:val="auto"/>
                <w:sz w:val="20"/>
                <w:lang w:eastAsia="es-CL"/>
              </w:rPr>
            </w:pPr>
          </w:p>
        </w:tc>
        <w:tc>
          <w:tcPr>
            <w:tcW w:w="0" w:type="auto"/>
            <w:gridSpan w:val="6"/>
            <w:tcBorders>
              <w:top w:val="nil"/>
              <w:left w:val="single" w:sz="12" w:space="0" w:color="FFFFFF"/>
              <w:bottom w:val="single" w:sz="12" w:space="0" w:color="FFFFFF"/>
              <w:right w:val="nil"/>
            </w:tcBorders>
            <w:shd w:val="clear" w:color="000000" w:fill="AE1619"/>
            <w:noWrap/>
            <w:vAlign w:val="center"/>
            <w:hideMark/>
          </w:tcPr>
          <w:p w14:paraId="2676822D" w14:textId="77777777" w:rsidR="003457B9" w:rsidRPr="003457B9" w:rsidRDefault="003457B9" w:rsidP="003457B9">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Anualizado</w:t>
            </w:r>
          </w:p>
        </w:tc>
      </w:tr>
      <w:tr w:rsidR="003457B9" w:rsidRPr="003457B9" w14:paraId="34AEAA29" w14:textId="77777777" w:rsidTr="0095196B">
        <w:trPr>
          <w:trHeight w:val="283"/>
          <w:jc w:val="center"/>
        </w:trPr>
        <w:tc>
          <w:tcPr>
            <w:tcW w:w="0" w:type="auto"/>
            <w:tcBorders>
              <w:top w:val="nil"/>
              <w:left w:val="nil"/>
              <w:bottom w:val="nil"/>
              <w:right w:val="nil"/>
            </w:tcBorders>
            <w:shd w:val="clear" w:color="auto" w:fill="auto"/>
            <w:noWrap/>
            <w:vAlign w:val="bottom"/>
            <w:hideMark/>
          </w:tcPr>
          <w:p w14:paraId="04EB799A" w14:textId="77777777" w:rsidR="003457B9" w:rsidRPr="003457B9" w:rsidRDefault="003457B9" w:rsidP="003457B9">
            <w:pPr>
              <w:jc w:val="center"/>
              <w:rPr>
                <w:rFonts w:eastAsia="Times New Roman" w:cs="Calibri"/>
                <w:b/>
                <w:bCs/>
                <w:color w:val="FFFFFF"/>
                <w:sz w:val="16"/>
                <w:szCs w:val="16"/>
                <w:lang w:eastAsia="es-CL"/>
              </w:rPr>
            </w:pPr>
          </w:p>
        </w:tc>
        <w:tc>
          <w:tcPr>
            <w:tcW w:w="0" w:type="auto"/>
            <w:tcBorders>
              <w:top w:val="nil"/>
              <w:left w:val="single" w:sz="12" w:space="0" w:color="FFFFFF"/>
              <w:bottom w:val="single" w:sz="12" w:space="0" w:color="FFFFFF"/>
              <w:right w:val="single" w:sz="12" w:space="0" w:color="FFFFFF"/>
            </w:tcBorders>
            <w:shd w:val="clear" w:color="000000" w:fill="AE1619"/>
            <w:vAlign w:val="center"/>
            <w:hideMark/>
          </w:tcPr>
          <w:p w14:paraId="58A4BA2C" w14:textId="2D44D4C6" w:rsidR="003457B9" w:rsidRPr="003457B9" w:rsidRDefault="00D4460D" w:rsidP="003457B9">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Pr="00C45DFA">
              <w:rPr>
                <w:rFonts w:eastAsia="Times New Roman" w:cs="Calibri"/>
                <w:b/>
                <w:bCs/>
                <w:color w:val="FFFFFF"/>
                <w:sz w:val="16"/>
                <w:szCs w:val="16"/>
                <w:lang w:eastAsia="es-CL"/>
              </w:rPr>
              <w:t xml:space="preserve"> </w:t>
            </w:r>
            <w:r w:rsidR="003457B9" w:rsidRPr="003457B9">
              <w:rPr>
                <w:rFonts w:eastAsia="Times New Roman" w:cs="Calibri"/>
                <w:b/>
                <w:bCs/>
                <w:color w:val="FFFFFF"/>
                <w:sz w:val="16"/>
                <w:szCs w:val="16"/>
                <w:lang w:eastAsia="es-CL"/>
              </w:rPr>
              <w:t>Mes Actual</w:t>
            </w:r>
          </w:p>
        </w:tc>
        <w:tc>
          <w:tcPr>
            <w:tcW w:w="0" w:type="auto"/>
            <w:tcBorders>
              <w:top w:val="nil"/>
              <w:left w:val="nil"/>
              <w:bottom w:val="single" w:sz="12" w:space="0" w:color="FFFFFF"/>
              <w:right w:val="single" w:sz="12" w:space="0" w:color="FFFFFF"/>
            </w:tcBorders>
            <w:shd w:val="clear" w:color="000000" w:fill="AE1619"/>
            <w:vAlign w:val="center"/>
            <w:hideMark/>
          </w:tcPr>
          <w:p w14:paraId="428710C9" w14:textId="5105DAF2" w:rsidR="003457B9" w:rsidRPr="003457B9" w:rsidRDefault="00D4460D" w:rsidP="003457B9">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Pr="00C45DFA">
              <w:rPr>
                <w:rFonts w:eastAsia="Times New Roman" w:cs="Calibri"/>
                <w:b/>
                <w:bCs/>
                <w:color w:val="FFFFFF"/>
                <w:sz w:val="16"/>
                <w:szCs w:val="16"/>
                <w:lang w:eastAsia="es-CL"/>
              </w:rPr>
              <w:t xml:space="preserve"> </w:t>
            </w:r>
            <w:r w:rsidR="003457B9" w:rsidRPr="003457B9">
              <w:rPr>
                <w:rFonts w:eastAsia="Times New Roman" w:cs="Calibri"/>
                <w:b/>
                <w:bCs/>
                <w:color w:val="FFFFFF"/>
                <w:sz w:val="16"/>
                <w:szCs w:val="16"/>
                <w:lang w:eastAsia="es-CL"/>
              </w:rPr>
              <w:t>Mes Anterior</w:t>
            </w:r>
          </w:p>
        </w:tc>
        <w:tc>
          <w:tcPr>
            <w:tcW w:w="0" w:type="auto"/>
            <w:tcBorders>
              <w:top w:val="nil"/>
              <w:left w:val="nil"/>
              <w:bottom w:val="single" w:sz="12" w:space="0" w:color="FFFFFF"/>
              <w:right w:val="single" w:sz="12" w:space="0" w:color="FFFFFF"/>
            </w:tcBorders>
            <w:shd w:val="clear" w:color="000000" w:fill="AE1619"/>
            <w:vAlign w:val="center"/>
            <w:hideMark/>
          </w:tcPr>
          <w:p w14:paraId="529BD0F3" w14:textId="77777777" w:rsidR="003457B9" w:rsidRPr="003457B9" w:rsidRDefault="003457B9" w:rsidP="003457B9">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Últimos seis meses</w:t>
            </w:r>
          </w:p>
        </w:tc>
        <w:tc>
          <w:tcPr>
            <w:tcW w:w="0" w:type="auto"/>
            <w:tcBorders>
              <w:top w:val="nil"/>
              <w:left w:val="nil"/>
              <w:bottom w:val="single" w:sz="12" w:space="0" w:color="FFFFFF"/>
              <w:right w:val="single" w:sz="12" w:space="0" w:color="FFFFFF"/>
            </w:tcBorders>
            <w:shd w:val="clear" w:color="000000" w:fill="AE1619"/>
            <w:vAlign w:val="center"/>
            <w:hideMark/>
          </w:tcPr>
          <w:p w14:paraId="3EABE3A0" w14:textId="77777777" w:rsidR="003457B9" w:rsidRPr="003457B9" w:rsidRDefault="003457B9" w:rsidP="003457B9">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Últimos 12 meses</w:t>
            </w:r>
          </w:p>
        </w:tc>
        <w:tc>
          <w:tcPr>
            <w:tcW w:w="0" w:type="auto"/>
            <w:tcBorders>
              <w:top w:val="nil"/>
              <w:left w:val="nil"/>
              <w:bottom w:val="single" w:sz="12" w:space="0" w:color="FFFFFF"/>
              <w:right w:val="single" w:sz="12" w:space="0" w:color="FFFFFF"/>
            </w:tcBorders>
            <w:shd w:val="clear" w:color="000000" w:fill="AE1619"/>
            <w:vAlign w:val="center"/>
            <w:hideMark/>
          </w:tcPr>
          <w:p w14:paraId="634859CC" w14:textId="5B5AF679" w:rsidR="003457B9" w:rsidRPr="003457B9" w:rsidRDefault="00D4460D" w:rsidP="003457B9">
            <w:pPr>
              <w:jc w:val="center"/>
              <w:rPr>
                <w:rFonts w:eastAsia="Times New Roman" w:cs="Calibri"/>
                <w:b/>
                <w:bCs/>
                <w:color w:val="FFFFFF"/>
                <w:sz w:val="16"/>
                <w:szCs w:val="16"/>
                <w:lang w:eastAsia="es-CL"/>
              </w:rPr>
            </w:pPr>
            <w:r>
              <w:rPr>
                <w:rFonts w:eastAsia="Times New Roman" w:cs="Calibri"/>
                <w:b/>
                <w:bCs/>
                <w:color w:val="FFFFFF"/>
                <w:sz w:val="16"/>
                <w:szCs w:val="16"/>
                <w:lang w:eastAsia="es-CL"/>
              </w:rPr>
              <w:t>Variación</w:t>
            </w:r>
            <w:r w:rsidRPr="00C45DFA">
              <w:rPr>
                <w:rFonts w:eastAsia="Times New Roman" w:cs="Calibri"/>
                <w:b/>
                <w:bCs/>
                <w:color w:val="FFFFFF"/>
                <w:sz w:val="16"/>
                <w:szCs w:val="16"/>
                <w:lang w:eastAsia="es-CL"/>
              </w:rPr>
              <w:t xml:space="preserve"> </w:t>
            </w:r>
            <w:r w:rsidR="003457B9" w:rsidRPr="003457B9">
              <w:rPr>
                <w:rFonts w:eastAsia="Times New Roman" w:cs="Calibri"/>
                <w:b/>
                <w:bCs/>
                <w:color w:val="FFFFFF"/>
                <w:sz w:val="16"/>
                <w:szCs w:val="16"/>
                <w:lang w:eastAsia="es-CL"/>
              </w:rPr>
              <w:t>YTD</w:t>
            </w:r>
          </w:p>
        </w:tc>
        <w:tc>
          <w:tcPr>
            <w:tcW w:w="0" w:type="auto"/>
            <w:tcBorders>
              <w:top w:val="nil"/>
              <w:left w:val="nil"/>
              <w:bottom w:val="single" w:sz="12" w:space="0" w:color="FFFFFF"/>
              <w:right w:val="single" w:sz="12" w:space="0" w:color="FFFFFF"/>
            </w:tcBorders>
            <w:shd w:val="clear" w:color="000000" w:fill="AE1619"/>
            <w:vAlign w:val="center"/>
            <w:hideMark/>
          </w:tcPr>
          <w:p w14:paraId="69A9DDCB" w14:textId="77777777" w:rsidR="003457B9" w:rsidRPr="003457B9" w:rsidRDefault="003457B9" w:rsidP="003457B9">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Promedio (36 meses)</w:t>
            </w:r>
          </w:p>
        </w:tc>
      </w:tr>
      <w:tr w:rsidR="00A94754" w:rsidRPr="003457B9" w14:paraId="19D1565D" w14:textId="77777777" w:rsidTr="0095196B">
        <w:trPr>
          <w:trHeight w:val="283"/>
          <w:jc w:val="center"/>
        </w:trPr>
        <w:tc>
          <w:tcPr>
            <w:tcW w:w="0" w:type="auto"/>
            <w:tcBorders>
              <w:top w:val="single" w:sz="12" w:space="0" w:color="FFFFFF"/>
              <w:left w:val="single" w:sz="12" w:space="0" w:color="FFFFFF"/>
              <w:bottom w:val="single" w:sz="12" w:space="0" w:color="FFFFFF"/>
              <w:right w:val="single" w:sz="12" w:space="0" w:color="FFFFFF"/>
            </w:tcBorders>
            <w:shd w:val="clear" w:color="000000" w:fill="AE1619"/>
            <w:noWrap/>
            <w:vAlign w:val="center"/>
            <w:hideMark/>
          </w:tcPr>
          <w:p w14:paraId="2BC2B293" w14:textId="77777777" w:rsidR="00A94754" w:rsidRPr="003457B9" w:rsidRDefault="00A94754" w:rsidP="00A94754">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L</w:t>
            </w:r>
          </w:p>
        </w:tc>
        <w:tc>
          <w:tcPr>
            <w:tcW w:w="0" w:type="auto"/>
            <w:tcBorders>
              <w:top w:val="nil"/>
              <w:left w:val="nil"/>
              <w:bottom w:val="single" w:sz="12" w:space="0" w:color="FFFFFF"/>
              <w:right w:val="single" w:sz="12" w:space="0" w:color="FFFFFF"/>
            </w:tcBorders>
            <w:shd w:val="clear" w:color="auto" w:fill="auto"/>
            <w:noWrap/>
            <w:vAlign w:val="center"/>
            <w:hideMark/>
          </w:tcPr>
          <w:p w14:paraId="67497669" w14:textId="56253672"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78,20%</w:t>
            </w:r>
          </w:p>
        </w:tc>
        <w:tc>
          <w:tcPr>
            <w:tcW w:w="0" w:type="auto"/>
            <w:tcBorders>
              <w:top w:val="nil"/>
              <w:left w:val="nil"/>
              <w:bottom w:val="single" w:sz="12" w:space="0" w:color="FFFFFF"/>
              <w:right w:val="single" w:sz="12" w:space="0" w:color="FFFFFF"/>
            </w:tcBorders>
            <w:shd w:val="clear" w:color="auto" w:fill="auto"/>
            <w:noWrap/>
            <w:vAlign w:val="center"/>
            <w:hideMark/>
          </w:tcPr>
          <w:p w14:paraId="08507F27" w14:textId="4BC53F56"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-6,37%</w:t>
            </w:r>
          </w:p>
        </w:tc>
        <w:tc>
          <w:tcPr>
            <w:tcW w:w="0" w:type="auto"/>
            <w:tcBorders>
              <w:top w:val="nil"/>
              <w:left w:val="nil"/>
              <w:bottom w:val="single" w:sz="12" w:space="0" w:color="FFFFFF"/>
              <w:right w:val="single" w:sz="12" w:space="0" w:color="FFFFFF"/>
            </w:tcBorders>
            <w:shd w:val="clear" w:color="auto" w:fill="auto"/>
            <w:noWrap/>
            <w:vAlign w:val="center"/>
            <w:hideMark/>
          </w:tcPr>
          <w:p w14:paraId="132AA8F4" w14:textId="64351329"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-7,14%</w:t>
            </w:r>
          </w:p>
        </w:tc>
        <w:tc>
          <w:tcPr>
            <w:tcW w:w="0" w:type="auto"/>
            <w:tcBorders>
              <w:top w:val="nil"/>
              <w:left w:val="nil"/>
              <w:bottom w:val="single" w:sz="12" w:space="0" w:color="FFFFFF"/>
              <w:right w:val="single" w:sz="12" w:space="0" w:color="FFFFFF"/>
            </w:tcBorders>
            <w:shd w:val="clear" w:color="auto" w:fill="auto"/>
            <w:noWrap/>
            <w:vAlign w:val="center"/>
            <w:hideMark/>
          </w:tcPr>
          <w:p w14:paraId="66A04B71" w14:textId="4FA0CA80"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-12,18%</w:t>
            </w:r>
          </w:p>
        </w:tc>
        <w:tc>
          <w:tcPr>
            <w:tcW w:w="0" w:type="auto"/>
            <w:tcBorders>
              <w:top w:val="nil"/>
              <w:left w:val="nil"/>
              <w:bottom w:val="single" w:sz="12" w:space="0" w:color="FFFFFF"/>
              <w:right w:val="single" w:sz="12" w:space="0" w:color="FFFFFF"/>
            </w:tcBorders>
            <w:shd w:val="clear" w:color="auto" w:fill="auto"/>
            <w:noWrap/>
            <w:vAlign w:val="center"/>
            <w:hideMark/>
          </w:tcPr>
          <w:p w14:paraId="2E7B0DBC" w14:textId="258CF174"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-14,04%</w:t>
            </w:r>
          </w:p>
        </w:tc>
        <w:tc>
          <w:tcPr>
            <w:tcW w:w="0" w:type="auto"/>
            <w:tcBorders>
              <w:top w:val="nil"/>
              <w:left w:val="nil"/>
              <w:bottom w:val="single" w:sz="12" w:space="0" w:color="FFFFFF"/>
              <w:right w:val="single" w:sz="12" w:space="0" w:color="FFFFFF"/>
            </w:tcBorders>
            <w:shd w:val="clear" w:color="auto" w:fill="auto"/>
            <w:noWrap/>
            <w:vAlign w:val="center"/>
            <w:hideMark/>
          </w:tcPr>
          <w:p w14:paraId="41CABD6A" w14:textId="491067AB"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-1,34%</w:t>
            </w:r>
          </w:p>
        </w:tc>
      </w:tr>
      <w:tr w:rsidR="00A94754" w:rsidRPr="003457B9" w14:paraId="2F2BC57C" w14:textId="77777777" w:rsidTr="0095196B">
        <w:trPr>
          <w:trHeight w:val="283"/>
          <w:jc w:val="center"/>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0EEAF2DF" w14:textId="77777777" w:rsidR="00A94754" w:rsidRPr="003457B9" w:rsidRDefault="00A94754" w:rsidP="00A94754">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M</w:t>
            </w:r>
          </w:p>
        </w:tc>
        <w:tc>
          <w:tcPr>
            <w:tcW w:w="0" w:type="auto"/>
            <w:tcBorders>
              <w:top w:val="nil"/>
              <w:left w:val="nil"/>
              <w:bottom w:val="single" w:sz="12" w:space="0" w:color="FFFFFF"/>
              <w:right w:val="single" w:sz="12" w:space="0" w:color="FFFFFF"/>
            </w:tcBorders>
            <w:shd w:val="clear" w:color="auto" w:fill="auto"/>
            <w:noWrap/>
            <w:vAlign w:val="center"/>
            <w:hideMark/>
          </w:tcPr>
          <w:p w14:paraId="66741A9E" w14:textId="00C88626"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79,05%</w:t>
            </w:r>
          </w:p>
        </w:tc>
        <w:tc>
          <w:tcPr>
            <w:tcW w:w="0" w:type="auto"/>
            <w:tcBorders>
              <w:top w:val="nil"/>
              <w:left w:val="nil"/>
              <w:bottom w:val="single" w:sz="12" w:space="0" w:color="FFFFFF"/>
              <w:right w:val="single" w:sz="12" w:space="0" w:color="FFFFFF"/>
            </w:tcBorders>
            <w:shd w:val="clear" w:color="auto" w:fill="auto"/>
            <w:noWrap/>
            <w:vAlign w:val="center"/>
            <w:hideMark/>
          </w:tcPr>
          <w:p w14:paraId="0F2E15CA" w14:textId="4BA55F8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-5,91%</w:t>
            </w:r>
          </w:p>
        </w:tc>
        <w:tc>
          <w:tcPr>
            <w:tcW w:w="0" w:type="auto"/>
            <w:tcBorders>
              <w:top w:val="nil"/>
              <w:left w:val="nil"/>
              <w:bottom w:val="single" w:sz="12" w:space="0" w:color="FFFFFF"/>
              <w:right w:val="single" w:sz="12" w:space="0" w:color="FFFFFF"/>
            </w:tcBorders>
            <w:shd w:val="clear" w:color="auto" w:fill="auto"/>
            <w:noWrap/>
            <w:vAlign w:val="center"/>
            <w:hideMark/>
          </w:tcPr>
          <w:p w14:paraId="7606998E" w14:textId="4E2C8B2D"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-6,69%</w:t>
            </w:r>
          </w:p>
        </w:tc>
        <w:tc>
          <w:tcPr>
            <w:tcW w:w="0" w:type="auto"/>
            <w:tcBorders>
              <w:top w:val="nil"/>
              <w:left w:val="nil"/>
              <w:bottom w:val="single" w:sz="12" w:space="0" w:color="FFFFFF"/>
              <w:right w:val="single" w:sz="12" w:space="0" w:color="FFFFFF"/>
            </w:tcBorders>
            <w:shd w:val="clear" w:color="auto" w:fill="auto"/>
            <w:noWrap/>
            <w:vAlign w:val="center"/>
            <w:hideMark/>
          </w:tcPr>
          <w:p w14:paraId="763DDF1C" w14:textId="55E0F580"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-11,76%</w:t>
            </w:r>
          </w:p>
        </w:tc>
        <w:tc>
          <w:tcPr>
            <w:tcW w:w="0" w:type="auto"/>
            <w:tcBorders>
              <w:top w:val="nil"/>
              <w:left w:val="nil"/>
              <w:bottom w:val="single" w:sz="12" w:space="0" w:color="FFFFFF"/>
              <w:right w:val="single" w:sz="12" w:space="0" w:color="FFFFFF"/>
            </w:tcBorders>
            <w:shd w:val="clear" w:color="auto" w:fill="auto"/>
            <w:noWrap/>
            <w:vAlign w:val="center"/>
            <w:hideMark/>
          </w:tcPr>
          <w:p w14:paraId="3EA51F32" w14:textId="05E98F36"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-13,63%</w:t>
            </w:r>
          </w:p>
        </w:tc>
        <w:tc>
          <w:tcPr>
            <w:tcW w:w="0" w:type="auto"/>
            <w:tcBorders>
              <w:top w:val="nil"/>
              <w:left w:val="nil"/>
              <w:bottom w:val="single" w:sz="12" w:space="0" w:color="FFFFFF"/>
              <w:right w:val="single" w:sz="12" w:space="0" w:color="FFFFFF"/>
            </w:tcBorders>
            <w:shd w:val="clear" w:color="auto" w:fill="auto"/>
            <w:noWrap/>
            <w:vAlign w:val="center"/>
            <w:hideMark/>
          </w:tcPr>
          <w:p w14:paraId="5FAA9BE7" w14:textId="4A9ABD10"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-2,11%</w:t>
            </w:r>
          </w:p>
        </w:tc>
      </w:tr>
      <w:tr w:rsidR="00A94754" w:rsidRPr="003457B9" w14:paraId="082E093E" w14:textId="77777777" w:rsidTr="0095196B">
        <w:trPr>
          <w:trHeight w:val="283"/>
          <w:jc w:val="center"/>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3D43F459" w14:textId="77777777" w:rsidR="00A94754" w:rsidRPr="003457B9" w:rsidRDefault="00A94754" w:rsidP="00A94754">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P</w:t>
            </w:r>
          </w:p>
        </w:tc>
        <w:tc>
          <w:tcPr>
            <w:tcW w:w="0" w:type="auto"/>
            <w:tcBorders>
              <w:top w:val="nil"/>
              <w:left w:val="nil"/>
              <w:bottom w:val="single" w:sz="12" w:space="0" w:color="FFFFFF"/>
              <w:right w:val="single" w:sz="12" w:space="0" w:color="FFFFFF"/>
            </w:tcBorders>
            <w:shd w:val="clear" w:color="auto" w:fill="auto"/>
            <w:noWrap/>
            <w:vAlign w:val="center"/>
            <w:hideMark/>
          </w:tcPr>
          <w:p w14:paraId="7301CD0D" w14:textId="0A07FE34"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272459F2" w14:textId="42EAF464"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389B53E2" w14:textId="24DBFAE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39EDDD11" w14:textId="71481FCD"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7546B874" w14:textId="4851F3CD"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351F2DD5" w14:textId="093A8E03"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r>
      <w:tr w:rsidR="00A94754" w:rsidRPr="003457B9" w14:paraId="23B3FE75" w14:textId="77777777" w:rsidTr="0095196B">
        <w:trPr>
          <w:trHeight w:val="283"/>
          <w:jc w:val="center"/>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6925403A" w14:textId="77777777" w:rsidR="00A94754" w:rsidRPr="003457B9" w:rsidRDefault="00A94754" w:rsidP="00A94754">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BCH</w:t>
            </w:r>
          </w:p>
        </w:tc>
        <w:tc>
          <w:tcPr>
            <w:tcW w:w="0" w:type="auto"/>
            <w:tcBorders>
              <w:top w:val="nil"/>
              <w:left w:val="nil"/>
              <w:bottom w:val="single" w:sz="12" w:space="0" w:color="FFFFFF"/>
              <w:right w:val="single" w:sz="12" w:space="0" w:color="FFFFFF"/>
            </w:tcBorders>
            <w:shd w:val="clear" w:color="auto" w:fill="auto"/>
            <w:noWrap/>
            <w:vAlign w:val="center"/>
            <w:hideMark/>
          </w:tcPr>
          <w:p w14:paraId="551DCD75" w14:textId="4E069C3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735FD9EB" w14:textId="2E11CC5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3F37F319" w14:textId="5C8AEBC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6075E11E" w14:textId="70D680C0"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254A3057" w14:textId="21DCAF83"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single" w:sz="12" w:space="0" w:color="FFFFFF"/>
              <w:right w:val="single" w:sz="12" w:space="0" w:color="FFFFFF"/>
            </w:tcBorders>
            <w:shd w:val="clear" w:color="auto" w:fill="auto"/>
            <w:noWrap/>
            <w:vAlign w:val="center"/>
            <w:hideMark/>
          </w:tcPr>
          <w:p w14:paraId="2A2D376C" w14:textId="5699E936"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0,00%</w:t>
            </w:r>
          </w:p>
        </w:tc>
      </w:tr>
      <w:tr w:rsidR="00A94754" w:rsidRPr="003457B9" w14:paraId="5A1AC947" w14:textId="77777777" w:rsidTr="0095196B">
        <w:trPr>
          <w:trHeight w:val="283"/>
          <w:jc w:val="center"/>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4B358846" w14:textId="77777777" w:rsidR="00A94754" w:rsidRPr="003457B9" w:rsidRDefault="00A94754" w:rsidP="00A94754">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TIP</w:t>
            </w:r>
          </w:p>
        </w:tc>
        <w:tc>
          <w:tcPr>
            <w:tcW w:w="0" w:type="auto"/>
            <w:tcBorders>
              <w:top w:val="nil"/>
              <w:left w:val="nil"/>
              <w:bottom w:val="single" w:sz="12" w:space="0" w:color="FFFFFF"/>
              <w:right w:val="single" w:sz="12" w:space="0" w:color="FFFFFF"/>
            </w:tcBorders>
            <w:shd w:val="clear" w:color="auto" w:fill="auto"/>
            <w:noWrap/>
            <w:vAlign w:val="center"/>
            <w:hideMark/>
          </w:tcPr>
          <w:p w14:paraId="5FB9C0FE" w14:textId="031AE6A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2,64%</w:t>
            </w:r>
          </w:p>
        </w:tc>
        <w:tc>
          <w:tcPr>
            <w:tcW w:w="0" w:type="auto"/>
            <w:tcBorders>
              <w:top w:val="nil"/>
              <w:left w:val="nil"/>
              <w:bottom w:val="single" w:sz="12" w:space="0" w:color="FFFFFF"/>
              <w:right w:val="single" w:sz="12" w:space="0" w:color="FFFFFF"/>
            </w:tcBorders>
            <w:shd w:val="clear" w:color="auto" w:fill="auto"/>
            <w:noWrap/>
            <w:vAlign w:val="center"/>
            <w:hideMark/>
          </w:tcPr>
          <w:p w14:paraId="742DA8C3" w14:textId="08AB7D2E"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2,64%</w:t>
            </w:r>
          </w:p>
        </w:tc>
        <w:tc>
          <w:tcPr>
            <w:tcW w:w="0" w:type="auto"/>
            <w:tcBorders>
              <w:top w:val="nil"/>
              <w:left w:val="nil"/>
              <w:bottom w:val="single" w:sz="12" w:space="0" w:color="FFFFFF"/>
              <w:right w:val="single" w:sz="12" w:space="0" w:color="FFFFFF"/>
            </w:tcBorders>
            <w:shd w:val="clear" w:color="auto" w:fill="auto"/>
            <w:noWrap/>
            <w:vAlign w:val="center"/>
            <w:hideMark/>
          </w:tcPr>
          <w:p w14:paraId="16B02E8A" w14:textId="09A45E1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2,64%</w:t>
            </w:r>
          </w:p>
        </w:tc>
        <w:tc>
          <w:tcPr>
            <w:tcW w:w="0" w:type="auto"/>
            <w:tcBorders>
              <w:top w:val="nil"/>
              <w:left w:val="nil"/>
              <w:bottom w:val="single" w:sz="12" w:space="0" w:color="FFFFFF"/>
              <w:right w:val="single" w:sz="12" w:space="0" w:color="FFFFFF"/>
            </w:tcBorders>
            <w:shd w:val="clear" w:color="auto" w:fill="auto"/>
            <w:noWrap/>
            <w:vAlign w:val="center"/>
            <w:hideMark/>
          </w:tcPr>
          <w:p w14:paraId="7FF6149C" w14:textId="72B726DD"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1,54%</w:t>
            </w:r>
          </w:p>
        </w:tc>
        <w:tc>
          <w:tcPr>
            <w:tcW w:w="0" w:type="auto"/>
            <w:tcBorders>
              <w:top w:val="nil"/>
              <w:left w:val="nil"/>
              <w:bottom w:val="single" w:sz="12" w:space="0" w:color="FFFFFF"/>
              <w:right w:val="single" w:sz="12" w:space="0" w:color="FFFFFF"/>
            </w:tcBorders>
            <w:shd w:val="clear" w:color="auto" w:fill="auto"/>
            <w:noWrap/>
            <w:vAlign w:val="center"/>
            <w:hideMark/>
          </w:tcPr>
          <w:p w14:paraId="1E819285" w14:textId="734121E9"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0,95%</w:t>
            </w:r>
          </w:p>
        </w:tc>
        <w:tc>
          <w:tcPr>
            <w:tcW w:w="0" w:type="auto"/>
            <w:tcBorders>
              <w:top w:val="nil"/>
              <w:left w:val="nil"/>
              <w:bottom w:val="single" w:sz="12" w:space="0" w:color="FFFFFF"/>
              <w:right w:val="single" w:sz="12" w:space="0" w:color="FFFFFF"/>
            </w:tcBorders>
            <w:shd w:val="clear" w:color="auto" w:fill="auto"/>
            <w:noWrap/>
            <w:vAlign w:val="center"/>
            <w:hideMark/>
          </w:tcPr>
          <w:p w14:paraId="6BDEB6E1" w14:textId="4AA90364"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2,00%</w:t>
            </w:r>
          </w:p>
        </w:tc>
      </w:tr>
      <w:tr w:rsidR="00A94754" w:rsidRPr="003457B9" w14:paraId="54A4265F" w14:textId="77777777" w:rsidTr="0095196B">
        <w:trPr>
          <w:trHeight w:val="283"/>
          <w:jc w:val="center"/>
        </w:trPr>
        <w:tc>
          <w:tcPr>
            <w:tcW w:w="0" w:type="auto"/>
            <w:tcBorders>
              <w:top w:val="nil"/>
              <w:left w:val="single" w:sz="12" w:space="0" w:color="FFFFFF"/>
              <w:bottom w:val="single" w:sz="12" w:space="0" w:color="FFFFFF"/>
              <w:right w:val="single" w:sz="12" w:space="0" w:color="FFFFFF"/>
            </w:tcBorders>
            <w:shd w:val="clear" w:color="000000" w:fill="AE1619"/>
            <w:noWrap/>
            <w:vAlign w:val="center"/>
            <w:hideMark/>
          </w:tcPr>
          <w:p w14:paraId="50A8863A" w14:textId="77777777" w:rsidR="00A94754" w:rsidRPr="003457B9" w:rsidRDefault="00A94754" w:rsidP="00A94754">
            <w:pPr>
              <w:jc w:val="center"/>
              <w:rPr>
                <w:rFonts w:eastAsia="Times New Roman" w:cs="Calibri"/>
                <w:b/>
                <w:bCs/>
                <w:color w:val="FFFFFF"/>
                <w:sz w:val="16"/>
                <w:szCs w:val="16"/>
                <w:lang w:eastAsia="es-CL"/>
              </w:rPr>
            </w:pPr>
            <w:r w:rsidRPr="003457B9">
              <w:rPr>
                <w:rFonts w:eastAsia="Times New Roman" w:cs="Calibri"/>
                <w:b/>
                <w:bCs/>
                <w:color w:val="FFFFFF"/>
                <w:sz w:val="16"/>
                <w:szCs w:val="16"/>
                <w:lang w:eastAsia="es-CL"/>
              </w:rPr>
              <w:t>Tipo FM</w:t>
            </w:r>
          </w:p>
        </w:tc>
        <w:tc>
          <w:tcPr>
            <w:tcW w:w="0" w:type="auto"/>
            <w:tcBorders>
              <w:top w:val="nil"/>
              <w:left w:val="nil"/>
              <w:bottom w:val="single" w:sz="12" w:space="0" w:color="FFFFFF"/>
              <w:right w:val="single" w:sz="12" w:space="0" w:color="FFFFFF"/>
            </w:tcBorders>
            <w:shd w:val="clear" w:color="auto" w:fill="auto"/>
            <w:noWrap/>
            <w:vAlign w:val="center"/>
            <w:hideMark/>
          </w:tcPr>
          <w:p w14:paraId="6C324C50" w14:textId="36FE51E4"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21,13%</w:t>
            </w:r>
          </w:p>
        </w:tc>
        <w:tc>
          <w:tcPr>
            <w:tcW w:w="0" w:type="auto"/>
            <w:tcBorders>
              <w:top w:val="nil"/>
              <w:left w:val="nil"/>
              <w:bottom w:val="single" w:sz="12" w:space="0" w:color="FFFFFF"/>
              <w:right w:val="single" w:sz="12" w:space="0" w:color="FFFFFF"/>
            </w:tcBorders>
            <w:shd w:val="clear" w:color="auto" w:fill="auto"/>
            <w:noWrap/>
            <w:vAlign w:val="center"/>
            <w:hideMark/>
          </w:tcPr>
          <w:p w14:paraId="60A692D2" w14:textId="53E32394"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-2,17%</w:t>
            </w:r>
          </w:p>
        </w:tc>
        <w:tc>
          <w:tcPr>
            <w:tcW w:w="0" w:type="auto"/>
            <w:tcBorders>
              <w:top w:val="nil"/>
              <w:left w:val="nil"/>
              <w:bottom w:val="single" w:sz="12" w:space="0" w:color="FFFFFF"/>
              <w:right w:val="single" w:sz="12" w:space="0" w:color="FFFFFF"/>
            </w:tcBorders>
            <w:shd w:val="clear" w:color="auto" w:fill="auto"/>
            <w:noWrap/>
            <w:vAlign w:val="center"/>
            <w:hideMark/>
          </w:tcPr>
          <w:p w14:paraId="715B6292" w14:textId="54DE7470"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-8,03%</w:t>
            </w:r>
          </w:p>
        </w:tc>
        <w:tc>
          <w:tcPr>
            <w:tcW w:w="0" w:type="auto"/>
            <w:tcBorders>
              <w:top w:val="nil"/>
              <w:left w:val="nil"/>
              <w:bottom w:val="single" w:sz="12" w:space="0" w:color="FFFFFF"/>
              <w:right w:val="single" w:sz="12" w:space="0" w:color="FFFFFF"/>
            </w:tcBorders>
            <w:shd w:val="clear" w:color="auto" w:fill="auto"/>
            <w:noWrap/>
            <w:vAlign w:val="center"/>
            <w:hideMark/>
          </w:tcPr>
          <w:p w14:paraId="59E16489" w14:textId="456918C6"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-8,62%</w:t>
            </w:r>
          </w:p>
        </w:tc>
        <w:tc>
          <w:tcPr>
            <w:tcW w:w="0" w:type="auto"/>
            <w:tcBorders>
              <w:top w:val="nil"/>
              <w:left w:val="nil"/>
              <w:bottom w:val="single" w:sz="12" w:space="0" w:color="FFFFFF"/>
              <w:right w:val="single" w:sz="12" w:space="0" w:color="FFFFFF"/>
            </w:tcBorders>
            <w:shd w:val="clear" w:color="auto" w:fill="auto"/>
            <w:noWrap/>
            <w:vAlign w:val="center"/>
            <w:hideMark/>
          </w:tcPr>
          <w:p w14:paraId="36DAD262" w14:textId="49C42726"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-1,25%</w:t>
            </w:r>
          </w:p>
        </w:tc>
        <w:tc>
          <w:tcPr>
            <w:tcW w:w="0" w:type="auto"/>
            <w:tcBorders>
              <w:top w:val="nil"/>
              <w:left w:val="nil"/>
              <w:bottom w:val="single" w:sz="12" w:space="0" w:color="FFFFFF"/>
              <w:right w:val="single" w:sz="12" w:space="0" w:color="FFFFFF"/>
            </w:tcBorders>
            <w:shd w:val="clear" w:color="auto" w:fill="auto"/>
            <w:noWrap/>
            <w:vAlign w:val="center"/>
            <w:hideMark/>
          </w:tcPr>
          <w:p w14:paraId="03C5C1B0" w14:textId="072C1FCA" w:rsidR="00A94754" w:rsidRPr="003457B9" w:rsidRDefault="00A94754" w:rsidP="00A94754">
            <w:pPr>
              <w:jc w:val="center"/>
              <w:rPr>
                <w:rFonts w:eastAsia="Times New Roman" w:cs="Calibri"/>
                <w:color w:val="333D6B"/>
                <w:sz w:val="16"/>
                <w:szCs w:val="16"/>
                <w:lang w:eastAsia="es-CL"/>
              </w:rPr>
            </w:pPr>
            <w:r>
              <w:rPr>
                <w:rFonts w:cs="Calibri"/>
                <w:color w:val="333D6B"/>
                <w:sz w:val="16"/>
                <w:szCs w:val="16"/>
              </w:rPr>
              <w:t>-5,16%</w:t>
            </w:r>
          </w:p>
        </w:tc>
      </w:tr>
    </w:tbl>
    <w:p w14:paraId="5A9FF680" w14:textId="77777777" w:rsidR="00B9372D" w:rsidRDefault="00B9372D" w:rsidP="00072C20">
      <w:pPr>
        <w:rPr>
          <w:highlight w:val="yellow"/>
        </w:rPr>
      </w:pPr>
    </w:p>
    <w:p w14:paraId="76C944A3" w14:textId="77777777" w:rsidR="0075279F" w:rsidRDefault="0075279F" w:rsidP="0075279F">
      <w:pPr>
        <w:spacing w:after="120"/>
        <w:jc w:val="both"/>
      </w:pPr>
      <w:bookmarkStart w:id="7" w:name="_Ref77255166"/>
      <w:r w:rsidRPr="00A57E26">
        <w:t xml:space="preserve">A juicio de </w:t>
      </w:r>
      <w:r w:rsidRPr="00A57E26">
        <w:rPr>
          <w:b/>
          <w:bCs/>
          <w:i/>
          <w:iCs/>
        </w:rPr>
        <w:t xml:space="preserve">Humphreys, </w:t>
      </w:r>
      <w:r w:rsidRPr="00A57E26">
        <w:t xml:space="preserve">la política de diversificación, descrita al interior del reglamento interno, cuenta con un diseño acorde con el tipo de negocio que se planea desarrollar, cumpliendo con la normativa en cuanto a limitar </w:t>
      </w:r>
      <w:r w:rsidRPr="00CF5254">
        <w:t>el grado de concentración por emisor y por grupo empresarial.</w:t>
      </w:r>
    </w:p>
    <w:p w14:paraId="225B0698" w14:textId="16F1A793" w:rsidR="0075279F" w:rsidRPr="00A22A0E" w:rsidRDefault="0075279F" w:rsidP="00A22A0E">
      <w:pPr>
        <w:pStyle w:val="Descripcin"/>
        <w:keepNext/>
        <w:jc w:val="both"/>
        <w:rPr>
          <w:i w:val="0"/>
          <w:iCs w:val="0"/>
          <w:sz w:val="21"/>
          <w:szCs w:val="24"/>
        </w:rPr>
      </w:pPr>
      <w:r w:rsidRPr="00A22A0E">
        <w:rPr>
          <w:i w:val="0"/>
          <w:iCs w:val="0"/>
          <w:sz w:val="21"/>
          <w:szCs w:val="24"/>
        </w:rPr>
        <w:t xml:space="preserve">En lo referente a la concentración por emisor </w:t>
      </w:r>
      <w:r w:rsidR="004A2998" w:rsidRPr="00A22A0E">
        <w:rPr>
          <w:i w:val="0"/>
          <w:iCs w:val="0"/>
          <w:sz w:val="21"/>
          <w:szCs w:val="24"/>
        </w:rPr>
        <w:t xml:space="preserve">que </w:t>
      </w:r>
      <w:r w:rsidRPr="00A22A0E">
        <w:rPr>
          <w:i w:val="0"/>
          <w:iCs w:val="0"/>
          <w:sz w:val="21"/>
          <w:szCs w:val="24"/>
        </w:rPr>
        <w:t>establec</w:t>
      </w:r>
      <w:r w:rsidR="004A2998" w:rsidRPr="00A22A0E">
        <w:rPr>
          <w:i w:val="0"/>
          <w:iCs w:val="0"/>
          <w:sz w:val="21"/>
          <w:szCs w:val="24"/>
        </w:rPr>
        <w:t>e</w:t>
      </w:r>
      <w:r w:rsidRPr="00A22A0E">
        <w:rPr>
          <w:i w:val="0"/>
          <w:iCs w:val="0"/>
          <w:sz w:val="21"/>
          <w:szCs w:val="24"/>
        </w:rPr>
        <w:t xml:space="preserve"> el reglamento interno</w:t>
      </w:r>
      <w:r w:rsidR="00AE1D3D" w:rsidRPr="00A22A0E">
        <w:rPr>
          <w:i w:val="0"/>
          <w:iCs w:val="0"/>
          <w:sz w:val="21"/>
          <w:szCs w:val="24"/>
        </w:rPr>
        <w:t xml:space="preserve">, máximo un </w:t>
      </w:r>
      <w:r w:rsidRPr="00A22A0E">
        <w:rPr>
          <w:i w:val="0"/>
          <w:iCs w:val="0"/>
          <w:sz w:val="21"/>
          <w:szCs w:val="24"/>
        </w:rPr>
        <w:t xml:space="preserve">20% del activo, </w:t>
      </w:r>
      <w:r w:rsidRPr="00A22A0E">
        <w:rPr>
          <w:b/>
          <w:bCs/>
          <w:i w:val="0"/>
          <w:iCs w:val="0"/>
          <w:sz w:val="21"/>
          <w:szCs w:val="24"/>
        </w:rPr>
        <w:t xml:space="preserve">FM </w:t>
      </w:r>
      <w:proofErr w:type="spellStart"/>
      <w:r w:rsidRPr="00A22A0E">
        <w:rPr>
          <w:b/>
          <w:bCs/>
          <w:i w:val="0"/>
          <w:iCs w:val="0"/>
          <w:sz w:val="21"/>
          <w:szCs w:val="24"/>
        </w:rPr>
        <w:t>Latam</w:t>
      </w:r>
      <w:proofErr w:type="spellEnd"/>
      <w:r w:rsidRPr="00A22A0E">
        <w:rPr>
          <w:b/>
          <w:bCs/>
          <w:i w:val="0"/>
          <w:iCs w:val="0"/>
          <w:sz w:val="21"/>
          <w:szCs w:val="24"/>
        </w:rPr>
        <w:t xml:space="preserve"> </w:t>
      </w:r>
      <w:proofErr w:type="spellStart"/>
      <w:r w:rsidRPr="00A22A0E">
        <w:rPr>
          <w:b/>
          <w:bCs/>
          <w:i w:val="0"/>
          <w:iCs w:val="0"/>
          <w:sz w:val="21"/>
          <w:szCs w:val="24"/>
        </w:rPr>
        <w:t>Corporate</w:t>
      </w:r>
      <w:proofErr w:type="spellEnd"/>
      <w:r w:rsidRPr="00A22A0E">
        <w:rPr>
          <w:i w:val="0"/>
          <w:iCs w:val="0"/>
          <w:sz w:val="21"/>
          <w:szCs w:val="24"/>
        </w:rPr>
        <w:t xml:space="preserve"> ha cumplido con lo establecido en los últimos 24 meses. Al cierre de </w:t>
      </w:r>
      <w:r w:rsidR="00AE1D3D" w:rsidRPr="00A22A0E">
        <w:rPr>
          <w:i w:val="0"/>
          <w:iCs w:val="0"/>
          <w:sz w:val="21"/>
          <w:szCs w:val="24"/>
        </w:rPr>
        <w:t>noviembre</w:t>
      </w:r>
      <w:r w:rsidRPr="00A22A0E">
        <w:rPr>
          <w:i w:val="0"/>
          <w:iCs w:val="0"/>
          <w:sz w:val="21"/>
          <w:szCs w:val="24"/>
        </w:rPr>
        <w:t xml:space="preserve"> de 202</w:t>
      </w:r>
      <w:r w:rsidR="00AE1D3D" w:rsidRPr="00A22A0E">
        <w:rPr>
          <w:i w:val="0"/>
          <w:iCs w:val="0"/>
          <w:sz w:val="21"/>
          <w:szCs w:val="24"/>
        </w:rPr>
        <w:t>2</w:t>
      </w:r>
      <w:r w:rsidRPr="00A22A0E">
        <w:rPr>
          <w:i w:val="0"/>
          <w:iCs w:val="0"/>
          <w:sz w:val="21"/>
          <w:szCs w:val="24"/>
        </w:rPr>
        <w:t>, la principal inversión del fondo correspondía a instrumentos emitidos</w:t>
      </w:r>
      <w:r w:rsidR="0082300A" w:rsidRPr="00A22A0E">
        <w:rPr>
          <w:i w:val="0"/>
          <w:iCs w:val="0"/>
          <w:sz w:val="21"/>
          <w:szCs w:val="24"/>
        </w:rPr>
        <w:t xml:space="preserve"> por el</w:t>
      </w:r>
      <w:r w:rsidR="005704AE" w:rsidRPr="00A22A0E">
        <w:rPr>
          <w:i w:val="0"/>
          <w:iCs w:val="0"/>
          <w:sz w:val="21"/>
          <w:szCs w:val="24"/>
        </w:rPr>
        <w:t xml:space="preserve"> Grupo Televisa</w:t>
      </w:r>
      <w:r w:rsidRPr="00A22A0E">
        <w:rPr>
          <w:i w:val="0"/>
          <w:iCs w:val="0"/>
          <w:sz w:val="21"/>
          <w:szCs w:val="24"/>
        </w:rPr>
        <w:t xml:space="preserve">, </w:t>
      </w:r>
      <w:r w:rsidR="0082300A" w:rsidRPr="00A22A0E">
        <w:rPr>
          <w:i w:val="0"/>
          <w:iCs w:val="0"/>
          <w:sz w:val="21"/>
          <w:szCs w:val="24"/>
        </w:rPr>
        <w:t>el</w:t>
      </w:r>
      <w:r w:rsidRPr="00A22A0E">
        <w:rPr>
          <w:i w:val="0"/>
          <w:iCs w:val="0"/>
          <w:sz w:val="21"/>
          <w:szCs w:val="24"/>
        </w:rPr>
        <w:t xml:space="preserve"> cual representaba el </w:t>
      </w:r>
      <w:r w:rsidR="0082300A" w:rsidRPr="00A22A0E">
        <w:rPr>
          <w:i w:val="0"/>
          <w:iCs w:val="0"/>
          <w:sz w:val="21"/>
          <w:szCs w:val="24"/>
        </w:rPr>
        <w:t>5</w:t>
      </w:r>
      <w:r w:rsidRPr="00A22A0E">
        <w:rPr>
          <w:i w:val="0"/>
          <w:iCs w:val="0"/>
          <w:sz w:val="21"/>
          <w:szCs w:val="24"/>
        </w:rPr>
        <w:t>,</w:t>
      </w:r>
      <w:r w:rsidR="0082300A" w:rsidRPr="00A22A0E">
        <w:rPr>
          <w:i w:val="0"/>
          <w:iCs w:val="0"/>
          <w:sz w:val="21"/>
          <w:szCs w:val="24"/>
        </w:rPr>
        <w:t>70</w:t>
      </w:r>
      <w:r w:rsidRPr="00A22A0E">
        <w:rPr>
          <w:i w:val="0"/>
          <w:iCs w:val="0"/>
          <w:sz w:val="21"/>
          <w:szCs w:val="24"/>
        </w:rPr>
        <w:t>% del portfolio, en tanto, los ocho principales emisores concentraron el 3</w:t>
      </w:r>
      <w:r w:rsidR="0082300A" w:rsidRPr="00A22A0E">
        <w:rPr>
          <w:i w:val="0"/>
          <w:iCs w:val="0"/>
          <w:sz w:val="21"/>
          <w:szCs w:val="24"/>
        </w:rPr>
        <w:t>5</w:t>
      </w:r>
      <w:r w:rsidRPr="00A22A0E">
        <w:rPr>
          <w:i w:val="0"/>
          <w:iCs w:val="0"/>
          <w:sz w:val="21"/>
          <w:szCs w:val="24"/>
        </w:rPr>
        <w:t>,8</w:t>
      </w:r>
      <w:r w:rsidR="0082300A" w:rsidRPr="00A22A0E">
        <w:rPr>
          <w:i w:val="0"/>
          <w:iCs w:val="0"/>
          <w:sz w:val="21"/>
          <w:szCs w:val="24"/>
        </w:rPr>
        <w:t>0</w:t>
      </w:r>
      <w:r w:rsidRPr="00A22A0E">
        <w:rPr>
          <w:i w:val="0"/>
          <w:iCs w:val="0"/>
          <w:sz w:val="21"/>
          <w:szCs w:val="24"/>
        </w:rPr>
        <w:t xml:space="preserve">%, tal como se puede apreciar en la </w:t>
      </w:r>
      <w:r w:rsidR="00A22A0E" w:rsidRPr="00A22A0E">
        <w:rPr>
          <w:i w:val="0"/>
          <w:iCs w:val="0"/>
          <w:sz w:val="21"/>
          <w:szCs w:val="24"/>
        </w:rPr>
        <w:t>Tabla 5.</w:t>
      </w:r>
    </w:p>
    <w:p w14:paraId="0377A2BD" w14:textId="77777777" w:rsidR="00EE1AD9" w:rsidRDefault="00EE1AD9" w:rsidP="006505D4">
      <w:pPr>
        <w:pStyle w:val="Descripcin"/>
        <w:keepNext/>
      </w:pPr>
      <w:bookmarkStart w:id="8" w:name="_Ref125968808"/>
      <w:r>
        <w:br w:type="page"/>
      </w:r>
    </w:p>
    <w:p w14:paraId="29E25366" w14:textId="2F2BE6AE" w:rsidR="006505D4" w:rsidRPr="00AF6C11" w:rsidRDefault="006505D4" w:rsidP="006505D4">
      <w:pPr>
        <w:pStyle w:val="Descripcin"/>
        <w:keepNext/>
      </w:pPr>
      <w:r w:rsidRPr="00AF6C11">
        <w:lastRenderedPageBreak/>
        <w:t xml:space="preserve">Tabla </w:t>
      </w:r>
      <w:r w:rsidRPr="00AF6C11">
        <w:fldChar w:fldCharType="begin"/>
      </w:r>
      <w:r w:rsidRPr="00AF6C11">
        <w:instrText>SEQ Tabla \* ARABIC</w:instrText>
      </w:r>
      <w:r w:rsidRPr="00AF6C11">
        <w:fldChar w:fldCharType="separate"/>
      </w:r>
      <w:r w:rsidR="00BA37AC">
        <w:rPr>
          <w:noProof/>
        </w:rPr>
        <w:t>5</w:t>
      </w:r>
      <w:r w:rsidRPr="00AF6C11">
        <w:fldChar w:fldCharType="end"/>
      </w:r>
      <w:bookmarkEnd w:id="7"/>
      <w:bookmarkEnd w:id="8"/>
      <w:r w:rsidRPr="00AF6C11">
        <w:t>: Principales emisores de fondo</w:t>
      </w:r>
    </w:p>
    <w:tbl>
      <w:tblPr>
        <w:tblW w:w="0" w:type="auto"/>
        <w:jc w:val="center"/>
        <w:tblCellMar>
          <w:left w:w="70" w:type="dxa"/>
          <w:right w:w="70" w:type="dxa"/>
        </w:tblCellMar>
        <w:tblLook w:val="04A0" w:firstRow="1" w:lastRow="0" w:firstColumn="1" w:lastColumn="0" w:noHBand="0" w:noVBand="1"/>
      </w:tblPr>
      <w:tblGrid>
        <w:gridCol w:w="3390"/>
        <w:gridCol w:w="691"/>
        <w:gridCol w:w="691"/>
        <w:gridCol w:w="691"/>
        <w:gridCol w:w="691"/>
        <w:gridCol w:w="691"/>
        <w:gridCol w:w="691"/>
      </w:tblGrid>
      <w:tr w:rsidR="003859CD" w:rsidRPr="00AF6C11" w14:paraId="3E91FCB4" w14:textId="77777777" w:rsidTr="009F3E54">
        <w:trPr>
          <w:trHeight w:val="283"/>
          <w:jc w:val="center"/>
        </w:trPr>
        <w:tc>
          <w:tcPr>
            <w:tcW w:w="0" w:type="auto"/>
            <w:tcBorders>
              <w:top w:val="nil"/>
              <w:left w:val="nil"/>
              <w:right w:val="nil"/>
            </w:tcBorders>
            <w:shd w:val="clear" w:color="D9E1F2" w:fill="AE1619"/>
            <w:noWrap/>
            <w:vAlign w:val="bottom"/>
            <w:hideMark/>
          </w:tcPr>
          <w:p w14:paraId="0B463634" w14:textId="77777777" w:rsidR="003859CD" w:rsidRPr="00AF6C11" w:rsidRDefault="003859CD" w:rsidP="009F3E54">
            <w:pPr>
              <w:rPr>
                <w:rFonts w:eastAsia="Times New Roman" w:cs="Calibri"/>
                <w:b/>
                <w:bCs/>
                <w:color w:val="FFFFFF"/>
                <w:sz w:val="16"/>
                <w:szCs w:val="16"/>
                <w:lang w:eastAsia="es-CL"/>
              </w:rPr>
            </w:pPr>
            <w:r w:rsidRPr="00AF6C11">
              <w:rPr>
                <w:rFonts w:eastAsia="Times New Roman" w:cs="Calibri"/>
                <w:b/>
                <w:bCs/>
                <w:color w:val="FFFFFF"/>
                <w:sz w:val="16"/>
                <w:szCs w:val="16"/>
                <w:lang w:eastAsia="es-CL"/>
              </w:rPr>
              <w:t>Principales Emisores</w:t>
            </w:r>
          </w:p>
        </w:tc>
        <w:tc>
          <w:tcPr>
            <w:tcW w:w="0" w:type="auto"/>
            <w:tcBorders>
              <w:top w:val="nil"/>
              <w:left w:val="nil"/>
              <w:bottom w:val="single" w:sz="4" w:space="0" w:color="8EA9DB"/>
              <w:right w:val="nil"/>
            </w:tcBorders>
            <w:shd w:val="clear" w:color="D9E1F2" w:fill="AE1619"/>
            <w:noWrap/>
            <w:vAlign w:val="bottom"/>
            <w:hideMark/>
          </w:tcPr>
          <w:p w14:paraId="1F9A1BEB" w14:textId="59E1DC52" w:rsidR="003859CD" w:rsidRPr="00AF6C11" w:rsidRDefault="003859CD" w:rsidP="009F3E54">
            <w:pPr>
              <w:jc w:val="center"/>
              <w:rPr>
                <w:rFonts w:eastAsia="Times New Roman" w:cs="Calibri"/>
                <w:b/>
                <w:bCs/>
                <w:color w:val="FFFFFF"/>
                <w:sz w:val="16"/>
                <w:szCs w:val="16"/>
                <w:lang w:eastAsia="es-CL"/>
              </w:rPr>
            </w:pPr>
            <w:r w:rsidRPr="003859CD">
              <w:rPr>
                <w:rFonts w:eastAsia="Times New Roman" w:cs="Calibri"/>
                <w:b/>
                <w:bCs/>
                <w:color w:val="FFFFFF"/>
                <w:sz w:val="16"/>
                <w:szCs w:val="16"/>
                <w:lang w:eastAsia="es-CL"/>
              </w:rPr>
              <w:t>dic-17</w:t>
            </w:r>
          </w:p>
        </w:tc>
        <w:tc>
          <w:tcPr>
            <w:tcW w:w="0" w:type="auto"/>
            <w:tcBorders>
              <w:top w:val="nil"/>
              <w:left w:val="nil"/>
              <w:bottom w:val="single" w:sz="4" w:space="0" w:color="8EA9DB"/>
              <w:right w:val="nil"/>
            </w:tcBorders>
            <w:shd w:val="clear" w:color="D9E1F2" w:fill="AE1619"/>
            <w:noWrap/>
            <w:vAlign w:val="bottom"/>
            <w:hideMark/>
          </w:tcPr>
          <w:p w14:paraId="762DD498" w14:textId="26486D7F" w:rsidR="003859CD" w:rsidRPr="00AF6C11" w:rsidRDefault="003859CD" w:rsidP="009F3E54">
            <w:pPr>
              <w:jc w:val="center"/>
              <w:rPr>
                <w:rFonts w:eastAsia="Times New Roman" w:cs="Calibri"/>
                <w:b/>
                <w:bCs/>
                <w:color w:val="FFFFFF"/>
                <w:sz w:val="16"/>
                <w:szCs w:val="16"/>
                <w:lang w:eastAsia="es-CL"/>
              </w:rPr>
            </w:pPr>
            <w:r w:rsidRPr="003859CD">
              <w:rPr>
                <w:rFonts w:eastAsia="Times New Roman" w:cs="Calibri"/>
                <w:b/>
                <w:bCs/>
                <w:color w:val="FFFFFF"/>
                <w:sz w:val="16"/>
                <w:szCs w:val="16"/>
                <w:lang w:eastAsia="es-CL"/>
              </w:rPr>
              <w:t>dic-18</w:t>
            </w:r>
          </w:p>
        </w:tc>
        <w:tc>
          <w:tcPr>
            <w:tcW w:w="0" w:type="auto"/>
            <w:tcBorders>
              <w:top w:val="nil"/>
              <w:left w:val="nil"/>
              <w:bottom w:val="single" w:sz="4" w:space="0" w:color="8EA9DB"/>
              <w:right w:val="nil"/>
            </w:tcBorders>
            <w:shd w:val="clear" w:color="D9E1F2" w:fill="AE1619"/>
            <w:noWrap/>
            <w:vAlign w:val="bottom"/>
            <w:hideMark/>
          </w:tcPr>
          <w:p w14:paraId="5741BD55" w14:textId="07A9A6DB" w:rsidR="003859CD" w:rsidRPr="00AF6C11" w:rsidRDefault="003859CD" w:rsidP="009F3E54">
            <w:pPr>
              <w:jc w:val="center"/>
              <w:rPr>
                <w:rFonts w:eastAsia="Times New Roman" w:cs="Calibri"/>
                <w:b/>
                <w:bCs/>
                <w:color w:val="FFFFFF"/>
                <w:sz w:val="16"/>
                <w:szCs w:val="16"/>
                <w:lang w:eastAsia="es-CL"/>
              </w:rPr>
            </w:pPr>
            <w:r w:rsidRPr="003859CD">
              <w:rPr>
                <w:rFonts w:eastAsia="Times New Roman" w:cs="Calibri"/>
                <w:b/>
                <w:bCs/>
                <w:color w:val="FFFFFF"/>
                <w:sz w:val="16"/>
                <w:szCs w:val="16"/>
                <w:lang w:eastAsia="es-CL"/>
              </w:rPr>
              <w:t>dic-19</w:t>
            </w:r>
          </w:p>
        </w:tc>
        <w:tc>
          <w:tcPr>
            <w:tcW w:w="0" w:type="auto"/>
            <w:tcBorders>
              <w:top w:val="nil"/>
              <w:left w:val="nil"/>
              <w:bottom w:val="single" w:sz="4" w:space="0" w:color="8EA9DB"/>
              <w:right w:val="nil"/>
            </w:tcBorders>
            <w:shd w:val="clear" w:color="D9E1F2" w:fill="AE1619"/>
            <w:noWrap/>
            <w:vAlign w:val="bottom"/>
            <w:hideMark/>
          </w:tcPr>
          <w:p w14:paraId="1009584C" w14:textId="59227CEF" w:rsidR="003859CD" w:rsidRPr="00AF6C11" w:rsidRDefault="003859CD" w:rsidP="009F3E54">
            <w:pPr>
              <w:jc w:val="center"/>
              <w:rPr>
                <w:rFonts w:eastAsia="Times New Roman" w:cs="Calibri"/>
                <w:b/>
                <w:bCs/>
                <w:color w:val="FFFFFF"/>
                <w:sz w:val="16"/>
                <w:szCs w:val="16"/>
                <w:lang w:eastAsia="es-CL"/>
              </w:rPr>
            </w:pPr>
            <w:r w:rsidRPr="003859CD">
              <w:rPr>
                <w:rFonts w:eastAsia="Times New Roman" w:cs="Calibri"/>
                <w:b/>
                <w:bCs/>
                <w:color w:val="FFFFFF"/>
                <w:sz w:val="16"/>
                <w:szCs w:val="16"/>
                <w:lang w:eastAsia="es-CL"/>
              </w:rPr>
              <w:t>dic-20</w:t>
            </w:r>
          </w:p>
        </w:tc>
        <w:tc>
          <w:tcPr>
            <w:tcW w:w="0" w:type="auto"/>
            <w:tcBorders>
              <w:top w:val="nil"/>
              <w:left w:val="nil"/>
              <w:bottom w:val="single" w:sz="4" w:space="0" w:color="8EA9DB"/>
              <w:right w:val="nil"/>
            </w:tcBorders>
            <w:shd w:val="clear" w:color="D9E1F2" w:fill="AE1619"/>
            <w:noWrap/>
            <w:vAlign w:val="bottom"/>
            <w:hideMark/>
          </w:tcPr>
          <w:p w14:paraId="518D1D19" w14:textId="2B5EC18B" w:rsidR="003859CD" w:rsidRPr="00AF6C11" w:rsidRDefault="003859CD" w:rsidP="009F3E54">
            <w:pPr>
              <w:jc w:val="center"/>
              <w:rPr>
                <w:rFonts w:eastAsia="Times New Roman" w:cs="Calibri"/>
                <w:b/>
                <w:bCs/>
                <w:color w:val="FFFFFF"/>
                <w:sz w:val="16"/>
                <w:szCs w:val="16"/>
                <w:lang w:eastAsia="es-CL"/>
              </w:rPr>
            </w:pPr>
            <w:r w:rsidRPr="003859CD">
              <w:rPr>
                <w:rFonts w:eastAsia="Times New Roman" w:cs="Calibri"/>
                <w:b/>
                <w:bCs/>
                <w:color w:val="FFFFFF"/>
                <w:sz w:val="16"/>
                <w:szCs w:val="16"/>
                <w:lang w:eastAsia="es-CL"/>
              </w:rPr>
              <w:t>dic-21</w:t>
            </w:r>
          </w:p>
        </w:tc>
        <w:tc>
          <w:tcPr>
            <w:tcW w:w="0" w:type="auto"/>
            <w:tcBorders>
              <w:top w:val="nil"/>
              <w:left w:val="nil"/>
              <w:bottom w:val="single" w:sz="4" w:space="0" w:color="8EA9DB"/>
              <w:right w:val="nil"/>
            </w:tcBorders>
            <w:shd w:val="clear" w:color="D9E1F2" w:fill="AE1619"/>
            <w:noWrap/>
            <w:vAlign w:val="bottom"/>
            <w:hideMark/>
          </w:tcPr>
          <w:p w14:paraId="2DA2187B" w14:textId="73CDB949" w:rsidR="003859CD" w:rsidRPr="00AF6C11" w:rsidRDefault="003859CD" w:rsidP="009F3E54">
            <w:pPr>
              <w:jc w:val="center"/>
              <w:rPr>
                <w:rFonts w:eastAsia="Times New Roman" w:cs="Calibri"/>
                <w:b/>
                <w:bCs/>
                <w:color w:val="FFFFFF"/>
                <w:sz w:val="16"/>
                <w:szCs w:val="16"/>
                <w:lang w:eastAsia="es-CL"/>
              </w:rPr>
            </w:pPr>
            <w:r w:rsidRPr="003859CD">
              <w:rPr>
                <w:rFonts w:eastAsia="Times New Roman" w:cs="Calibri"/>
                <w:b/>
                <w:bCs/>
                <w:color w:val="FFFFFF"/>
                <w:sz w:val="16"/>
                <w:szCs w:val="16"/>
                <w:lang w:eastAsia="es-CL"/>
              </w:rPr>
              <w:t>nov-22</w:t>
            </w:r>
          </w:p>
        </w:tc>
      </w:tr>
      <w:tr w:rsidR="009F3E54" w:rsidRPr="00AF6C11" w14:paraId="7C85F855" w14:textId="77777777" w:rsidTr="009F3E54">
        <w:trPr>
          <w:trHeight w:val="283"/>
          <w:jc w:val="center"/>
        </w:trPr>
        <w:tc>
          <w:tcPr>
            <w:tcW w:w="0" w:type="auto"/>
            <w:tcBorders>
              <w:left w:val="nil"/>
              <w:bottom w:val="nil"/>
              <w:right w:val="nil"/>
            </w:tcBorders>
            <w:shd w:val="clear" w:color="000000" w:fill="AE1619"/>
            <w:noWrap/>
            <w:vAlign w:val="bottom"/>
            <w:hideMark/>
          </w:tcPr>
          <w:p w14:paraId="01984CF4" w14:textId="261CE6D2"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Grupo Televisa</w:t>
            </w:r>
          </w:p>
        </w:tc>
        <w:tc>
          <w:tcPr>
            <w:tcW w:w="0" w:type="auto"/>
            <w:tcBorders>
              <w:top w:val="nil"/>
              <w:left w:val="nil"/>
              <w:bottom w:val="nil"/>
              <w:right w:val="nil"/>
            </w:tcBorders>
            <w:shd w:val="clear" w:color="auto" w:fill="auto"/>
            <w:noWrap/>
            <w:vAlign w:val="bottom"/>
            <w:hideMark/>
          </w:tcPr>
          <w:p w14:paraId="4ACCCBA9" w14:textId="5C206D29"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0,73%</w:t>
            </w:r>
          </w:p>
        </w:tc>
        <w:tc>
          <w:tcPr>
            <w:tcW w:w="0" w:type="auto"/>
            <w:tcBorders>
              <w:top w:val="nil"/>
              <w:left w:val="nil"/>
              <w:bottom w:val="nil"/>
              <w:right w:val="nil"/>
            </w:tcBorders>
            <w:shd w:val="clear" w:color="auto" w:fill="auto"/>
            <w:noWrap/>
            <w:vAlign w:val="bottom"/>
            <w:hideMark/>
          </w:tcPr>
          <w:p w14:paraId="2DADF3E1" w14:textId="5BA3799D"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1,36%</w:t>
            </w:r>
          </w:p>
        </w:tc>
        <w:tc>
          <w:tcPr>
            <w:tcW w:w="0" w:type="auto"/>
            <w:tcBorders>
              <w:top w:val="nil"/>
              <w:left w:val="nil"/>
              <w:bottom w:val="nil"/>
              <w:right w:val="nil"/>
            </w:tcBorders>
            <w:shd w:val="clear" w:color="auto" w:fill="auto"/>
            <w:noWrap/>
            <w:vAlign w:val="bottom"/>
            <w:hideMark/>
          </w:tcPr>
          <w:p w14:paraId="0571C9BF" w14:textId="4B598142"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2,83%</w:t>
            </w:r>
          </w:p>
        </w:tc>
        <w:tc>
          <w:tcPr>
            <w:tcW w:w="0" w:type="auto"/>
            <w:tcBorders>
              <w:top w:val="nil"/>
              <w:left w:val="nil"/>
              <w:bottom w:val="nil"/>
              <w:right w:val="nil"/>
            </w:tcBorders>
            <w:shd w:val="clear" w:color="auto" w:fill="auto"/>
            <w:noWrap/>
            <w:vAlign w:val="bottom"/>
            <w:hideMark/>
          </w:tcPr>
          <w:p w14:paraId="7955510A" w14:textId="4F872F85"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3,71%</w:t>
            </w:r>
          </w:p>
        </w:tc>
        <w:tc>
          <w:tcPr>
            <w:tcW w:w="0" w:type="auto"/>
            <w:tcBorders>
              <w:top w:val="nil"/>
              <w:left w:val="nil"/>
              <w:bottom w:val="nil"/>
              <w:right w:val="nil"/>
            </w:tcBorders>
            <w:shd w:val="clear" w:color="auto" w:fill="auto"/>
            <w:noWrap/>
            <w:vAlign w:val="bottom"/>
            <w:hideMark/>
          </w:tcPr>
          <w:p w14:paraId="5912F6B9" w14:textId="23294337"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5,25%</w:t>
            </w:r>
          </w:p>
        </w:tc>
        <w:tc>
          <w:tcPr>
            <w:tcW w:w="0" w:type="auto"/>
            <w:tcBorders>
              <w:top w:val="nil"/>
              <w:left w:val="nil"/>
              <w:bottom w:val="nil"/>
              <w:right w:val="nil"/>
            </w:tcBorders>
            <w:shd w:val="clear" w:color="auto" w:fill="auto"/>
            <w:noWrap/>
            <w:vAlign w:val="bottom"/>
            <w:hideMark/>
          </w:tcPr>
          <w:p w14:paraId="47900E6B" w14:textId="1E310D19"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5,70%</w:t>
            </w:r>
          </w:p>
        </w:tc>
      </w:tr>
      <w:tr w:rsidR="009F3E54" w:rsidRPr="00AF6C11" w14:paraId="273CD5D5"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3A94D070" w14:textId="65BA3E80"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Trust F/1401</w:t>
            </w:r>
          </w:p>
        </w:tc>
        <w:tc>
          <w:tcPr>
            <w:tcW w:w="0" w:type="auto"/>
            <w:tcBorders>
              <w:top w:val="nil"/>
              <w:left w:val="nil"/>
              <w:bottom w:val="nil"/>
              <w:right w:val="nil"/>
            </w:tcBorders>
            <w:shd w:val="clear" w:color="auto" w:fill="auto"/>
            <w:noWrap/>
            <w:vAlign w:val="bottom"/>
            <w:hideMark/>
          </w:tcPr>
          <w:p w14:paraId="7A0D2064" w14:textId="5AD03DEA"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0,95%</w:t>
            </w:r>
          </w:p>
        </w:tc>
        <w:tc>
          <w:tcPr>
            <w:tcW w:w="0" w:type="auto"/>
            <w:tcBorders>
              <w:top w:val="nil"/>
              <w:left w:val="nil"/>
              <w:bottom w:val="nil"/>
              <w:right w:val="nil"/>
            </w:tcBorders>
            <w:shd w:val="clear" w:color="auto" w:fill="auto"/>
            <w:noWrap/>
            <w:vAlign w:val="bottom"/>
            <w:hideMark/>
          </w:tcPr>
          <w:p w14:paraId="64A09602" w14:textId="293CE68D"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0,39%</w:t>
            </w:r>
          </w:p>
        </w:tc>
        <w:tc>
          <w:tcPr>
            <w:tcW w:w="0" w:type="auto"/>
            <w:tcBorders>
              <w:top w:val="nil"/>
              <w:left w:val="nil"/>
              <w:bottom w:val="nil"/>
              <w:right w:val="nil"/>
            </w:tcBorders>
            <w:shd w:val="clear" w:color="auto" w:fill="auto"/>
            <w:noWrap/>
            <w:vAlign w:val="bottom"/>
            <w:hideMark/>
          </w:tcPr>
          <w:p w14:paraId="7FA7CA53" w14:textId="7081E7EB"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1,13%</w:t>
            </w:r>
          </w:p>
        </w:tc>
        <w:tc>
          <w:tcPr>
            <w:tcW w:w="0" w:type="auto"/>
            <w:tcBorders>
              <w:top w:val="nil"/>
              <w:left w:val="nil"/>
              <w:bottom w:val="nil"/>
              <w:right w:val="nil"/>
            </w:tcBorders>
            <w:shd w:val="clear" w:color="auto" w:fill="auto"/>
            <w:noWrap/>
            <w:vAlign w:val="bottom"/>
            <w:hideMark/>
          </w:tcPr>
          <w:p w14:paraId="6309DF2A" w14:textId="38C4E576"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4,04%</w:t>
            </w:r>
          </w:p>
        </w:tc>
        <w:tc>
          <w:tcPr>
            <w:tcW w:w="0" w:type="auto"/>
            <w:tcBorders>
              <w:top w:val="nil"/>
              <w:left w:val="nil"/>
              <w:bottom w:val="nil"/>
              <w:right w:val="nil"/>
            </w:tcBorders>
            <w:shd w:val="clear" w:color="auto" w:fill="auto"/>
            <w:noWrap/>
            <w:vAlign w:val="bottom"/>
            <w:hideMark/>
          </w:tcPr>
          <w:p w14:paraId="0CC348C5" w14:textId="453567AA"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5,11%</w:t>
            </w:r>
          </w:p>
        </w:tc>
        <w:tc>
          <w:tcPr>
            <w:tcW w:w="0" w:type="auto"/>
            <w:tcBorders>
              <w:top w:val="nil"/>
              <w:left w:val="nil"/>
              <w:bottom w:val="nil"/>
              <w:right w:val="nil"/>
            </w:tcBorders>
            <w:shd w:val="clear" w:color="auto" w:fill="auto"/>
            <w:noWrap/>
            <w:vAlign w:val="bottom"/>
            <w:hideMark/>
          </w:tcPr>
          <w:p w14:paraId="3ACB605E" w14:textId="430A9FE5"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5,28%</w:t>
            </w:r>
          </w:p>
        </w:tc>
      </w:tr>
      <w:tr w:rsidR="009F3E54" w:rsidRPr="00AF6C11" w14:paraId="490A0EC5"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63E4247E" w14:textId="5CE6D7FC"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 xml:space="preserve">Banco Santander </w:t>
            </w:r>
            <w:proofErr w:type="spellStart"/>
            <w:r w:rsidRPr="00644B71">
              <w:rPr>
                <w:rFonts w:eastAsia="Times New Roman" w:cs="Calibri"/>
                <w:color w:val="FFFFFF"/>
                <w:sz w:val="16"/>
                <w:szCs w:val="16"/>
                <w:lang w:eastAsia="es-CL"/>
              </w:rPr>
              <w:t>Mexico</w:t>
            </w:r>
            <w:proofErr w:type="spellEnd"/>
          </w:p>
        </w:tc>
        <w:tc>
          <w:tcPr>
            <w:tcW w:w="0" w:type="auto"/>
            <w:tcBorders>
              <w:top w:val="nil"/>
              <w:left w:val="nil"/>
              <w:bottom w:val="nil"/>
              <w:right w:val="nil"/>
            </w:tcBorders>
            <w:shd w:val="clear" w:color="auto" w:fill="auto"/>
            <w:noWrap/>
            <w:vAlign w:val="bottom"/>
            <w:hideMark/>
          </w:tcPr>
          <w:p w14:paraId="4258E6FE" w14:textId="09A4F288"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0,00%</w:t>
            </w:r>
          </w:p>
        </w:tc>
        <w:tc>
          <w:tcPr>
            <w:tcW w:w="0" w:type="auto"/>
            <w:tcBorders>
              <w:top w:val="nil"/>
              <w:left w:val="nil"/>
              <w:bottom w:val="nil"/>
              <w:right w:val="nil"/>
            </w:tcBorders>
            <w:shd w:val="clear" w:color="auto" w:fill="auto"/>
            <w:noWrap/>
            <w:vAlign w:val="bottom"/>
            <w:hideMark/>
          </w:tcPr>
          <w:p w14:paraId="67A2635B" w14:textId="44882A98"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4,51%</w:t>
            </w:r>
          </w:p>
        </w:tc>
        <w:tc>
          <w:tcPr>
            <w:tcW w:w="0" w:type="auto"/>
            <w:tcBorders>
              <w:top w:val="nil"/>
              <w:left w:val="nil"/>
              <w:bottom w:val="nil"/>
              <w:right w:val="nil"/>
            </w:tcBorders>
            <w:shd w:val="clear" w:color="auto" w:fill="auto"/>
            <w:noWrap/>
            <w:vAlign w:val="bottom"/>
            <w:hideMark/>
          </w:tcPr>
          <w:p w14:paraId="5BCA8607" w14:textId="6E72555E"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0,86%</w:t>
            </w:r>
          </w:p>
        </w:tc>
        <w:tc>
          <w:tcPr>
            <w:tcW w:w="0" w:type="auto"/>
            <w:tcBorders>
              <w:top w:val="nil"/>
              <w:left w:val="nil"/>
              <w:bottom w:val="nil"/>
              <w:right w:val="nil"/>
            </w:tcBorders>
            <w:shd w:val="clear" w:color="auto" w:fill="auto"/>
            <w:noWrap/>
            <w:vAlign w:val="bottom"/>
            <w:hideMark/>
          </w:tcPr>
          <w:p w14:paraId="0384B0EF" w14:textId="0159D073"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2,30%</w:t>
            </w:r>
          </w:p>
        </w:tc>
        <w:tc>
          <w:tcPr>
            <w:tcW w:w="0" w:type="auto"/>
            <w:tcBorders>
              <w:top w:val="nil"/>
              <w:left w:val="nil"/>
              <w:bottom w:val="nil"/>
              <w:right w:val="nil"/>
            </w:tcBorders>
            <w:shd w:val="clear" w:color="auto" w:fill="auto"/>
            <w:noWrap/>
            <w:vAlign w:val="bottom"/>
            <w:hideMark/>
          </w:tcPr>
          <w:p w14:paraId="14847401" w14:textId="72B5E71B"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5,36%</w:t>
            </w:r>
          </w:p>
        </w:tc>
        <w:tc>
          <w:tcPr>
            <w:tcW w:w="0" w:type="auto"/>
            <w:tcBorders>
              <w:top w:val="nil"/>
              <w:left w:val="nil"/>
              <w:bottom w:val="nil"/>
              <w:right w:val="nil"/>
            </w:tcBorders>
            <w:shd w:val="clear" w:color="auto" w:fill="auto"/>
            <w:noWrap/>
            <w:vAlign w:val="bottom"/>
            <w:hideMark/>
          </w:tcPr>
          <w:p w14:paraId="3863002A" w14:textId="2B029B41"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5,11%</w:t>
            </w:r>
          </w:p>
        </w:tc>
      </w:tr>
      <w:tr w:rsidR="009F3E54" w:rsidRPr="00AF6C11" w14:paraId="0A886023"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21E5684C" w14:textId="4913C520"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Suzano Papel E Celulose Sa</w:t>
            </w:r>
          </w:p>
        </w:tc>
        <w:tc>
          <w:tcPr>
            <w:tcW w:w="0" w:type="auto"/>
            <w:tcBorders>
              <w:top w:val="nil"/>
              <w:left w:val="nil"/>
              <w:bottom w:val="nil"/>
              <w:right w:val="nil"/>
            </w:tcBorders>
            <w:shd w:val="clear" w:color="auto" w:fill="auto"/>
            <w:noWrap/>
            <w:vAlign w:val="bottom"/>
            <w:hideMark/>
          </w:tcPr>
          <w:p w14:paraId="78DEDF15" w14:textId="1E0AE448"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0,00%</w:t>
            </w:r>
          </w:p>
        </w:tc>
        <w:tc>
          <w:tcPr>
            <w:tcW w:w="0" w:type="auto"/>
            <w:tcBorders>
              <w:top w:val="nil"/>
              <w:left w:val="nil"/>
              <w:bottom w:val="nil"/>
              <w:right w:val="nil"/>
            </w:tcBorders>
            <w:shd w:val="clear" w:color="auto" w:fill="auto"/>
            <w:noWrap/>
            <w:vAlign w:val="bottom"/>
            <w:hideMark/>
          </w:tcPr>
          <w:p w14:paraId="192120AB" w14:textId="22E46591" w:rsidR="009F3E54" w:rsidRPr="00AF6C11" w:rsidRDefault="009F3E54" w:rsidP="009F3E54">
            <w:pPr>
              <w:jc w:val="center"/>
              <w:rPr>
                <w:rFonts w:ascii="Times New Roman" w:eastAsia="Times New Roman" w:hAnsi="Times New Roman" w:cs="Times New Roman"/>
                <w:color w:val="auto"/>
                <w:sz w:val="20"/>
                <w:szCs w:val="20"/>
                <w:lang w:eastAsia="es-CL"/>
              </w:rPr>
            </w:pPr>
            <w:r>
              <w:rPr>
                <w:rFonts w:cs="Calibri"/>
                <w:color w:val="333D6B"/>
                <w:sz w:val="16"/>
                <w:szCs w:val="16"/>
              </w:rPr>
              <w:t>1,06%</w:t>
            </w:r>
          </w:p>
        </w:tc>
        <w:tc>
          <w:tcPr>
            <w:tcW w:w="0" w:type="auto"/>
            <w:tcBorders>
              <w:top w:val="nil"/>
              <w:left w:val="nil"/>
              <w:bottom w:val="nil"/>
              <w:right w:val="nil"/>
            </w:tcBorders>
            <w:shd w:val="clear" w:color="auto" w:fill="auto"/>
            <w:noWrap/>
            <w:vAlign w:val="bottom"/>
            <w:hideMark/>
          </w:tcPr>
          <w:p w14:paraId="26EEF34D" w14:textId="726545FC"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0,48%</w:t>
            </w:r>
          </w:p>
        </w:tc>
        <w:tc>
          <w:tcPr>
            <w:tcW w:w="0" w:type="auto"/>
            <w:tcBorders>
              <w:top w:val="nil"/>
              <w:left w:val="nil"/>
              <w:bottom w:val="nil"/>
              <w:right w:val="nil"/>
            </w:tcBorders>
            <w:shd w:val="clear" w:color="auto" w:fill="auto"/>
            <w:noWrap/>
            <w:vAlign w:val="bottom"/>
            <w:hideMark/>
          </w:tcPr>
          <w:p w14:paraId="37F886C6" w14:textId="11F2EA43"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1,75%</w:t>
            </w:r>
          </w:p>
        </w:tc>
        <w:tc>
          <w:tcPr>
            <w:tcW w:w="0" w:type="auto"/>
            <w:tcBorders>
              <w:top w:val="nil"/>
              <w:left w:val="nil"/>
              <w:bottom w:val="nil"/>
              <w:right w:val="nil"/>
            </w:tcBorders>
            <w:shd w:val="clear" w:color="auto" w:fill="auto"/>
            <w:noWrap/>
            <w:vAlign w:val="bottom"/>
            <w:hideMark/>
          </w:tcPr>
          <w:p w14:paraId="54571D70" w14:textId="57B91DEF"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1,51%</w:t>
            </w:r>
          </w:p>
        </w:tc>
        <w:tc>
          <w:tcPr>
            <w:tcW w:w="0" w:type="auto"/>
            <w:tcBorders>
              <w:top w:val="nil"/>
              <w:left w:val="nil"/>
              <w:bottom w:val="nil"/>
              <w:right w:val="nil"/>
            </w:tcBorders>
            <w:shd w:val="clear" w:color="auto" w:fill="auto"/>
            <w:noWrap/>
            <w:vAlign w:val="bottom"/>
            <w:hideMark/>
          </w:tcPr>
          <w:p w14:paraId="2D1144C7" w14:textId="619D4044"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4,06%</w:t>
            </w:r>
          </w:p>
        </w:tc>
      </w:tr>
      <w:tr w:rsidR="009F3E54" w:rsidRPr="00AF6C11" w14:paraId="28BDE9CF"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2CDCCA06" w14:textId="02CB671B"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 xml:space="preserve">Infraestructura </w:t>
            </w:r>
            <w:proofErr w:type="spellStart"/>
            <w:r w:rsidRPr="00644B71">
              <w:rPr>
                <w:rFonts w:eastAsia="Times New Roman" w:cs="Calibri"/>
                <w:color w:val="FFFFFF"/>
                <w:sz w:val="16"/>
                <w:szCs w:val="16"/>
                <w:lang w:eastAsia="es-CL"/>
              </w:rPr>
              <w:t>Energetica</w:t>
            </w:r>
            <w:proofErr w:type="spellEnd"/>
            <w:r w:rsidRPr="00644B71">
              <w:rPr>
                <w:rFonts w:eastAsia="Times New Roman" w:cs="Calibri"/>
                <w:color w:val="FFFFFF"/>
                <w:sz w:val="16"/>
                <w:szCs w:val="16"/>
                <w:lang w:eastAsia="es-CL"/>
              </w:rPr>
              <w:t xml:space="preserve"> N</w:t>
            </w:r>
          </w:p>
        </w:tc>
        <w:tc>
          <w:tcPr>
            <w:tcW w:w="0" w:type="auto"/>
            <w:tcBorders>
              <w:top w:val="nil"/>
              <w:left w:val="nil"/>
              <w:bottom w:val="nil"/>
              <w:right w:val="nil"/>
            </w:tcBorders>
            <w:shd w:val="clear" w:color="auto" w:fill="auto"/>
            <w:noWrap/>
            <w:vAlign w:val="bottom"/>
            <w:hideMark/>
          </w:tcPr>
          <w:p w14:paraId="2D3F2192" w14:textId="68B75D1F"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0,00%</w:t>
            </w:r>
          </w:p>
        </w:tc>
        <w:tc>
          <w:tcPr>
            <w:tcW w:w="0" w:type="auto"/>
            <w:tcBorders>
              <w:top w:val="nil"/>
              <w:left w:val="nil"/>
              <w:bottom w:val="nil"/>
              <w:right w:val="nil"/>
            </w:tcBorders>
            <w:shd w:val="clear" w:color="auto" w:fill="auto"/>
            <w:noWrap/>
            <w:vAlign w:val="bottom"/>
            <w:hideMark/>
          </w:tcPr>
          <w:p w14:paraId="69F7AC43" w14:textId="5D7C6818" w:rsidR="009F3E54" w:rsidRPr="00AF6C11" w:rsidRDefault="009F3E54" w:rsidP="009F3E54">
            <w:pPr>
              <w:jc w:val="center"/>
              <w:rPr>
                <w:rFonts w:ascii="Times New Roman" w:eastAsia="Times New Roman" w:hAnsi="Times New Roman" w:cs="Times New Roman"/>
                <w:color w:val="auto"/>
                <w:sz w:val="20"/>
                <w:szCs w:val="20"/>
                <w:lang w:eastAsia="es-CL"/>
              </w:rPr>
            </w:pPr>
            <w:r>
              <w:rPr>
                <w:rFonts w:cs="Calibri"/>
                <w:color w:val="333D6B"/>
                <w:sz w:val="16"/>
                <w:szCs w:val="16"/>
              </w:rPr>
              <w:t>0,00%</w:t>
            </w:r>
          </w:p>
        </w:tc>
        <w:tc>
          <w:tcPr>
            <w:tcW w:w="0" w:type="auto"/>
            <w:tcBorders>
              <w:top w:val="nil"/>
              <w:left w:val="nil"/>
              <w:bottom w:val="nil"/>
              <w:right w:val="nil"/>
            </w:tcBorders>
            <w:shd w:val="clear" w:color="auto" w:fill="auto"/>
            <w:noWrap/>
            <w:vAlign w:val="bottom"/>
            <w:hideMark/>
          </w:tcPr>
          <w:p w14:paraId="5D987874" w14:textId="3A7CFA9A"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0,00%</w:t>
            </w:r>
          </w:p>
        </w:tc>
        <w:tc>
          <w:tcPr>
            <w:tcW w:w="0" w:type="auto"/>
            <w:tcBorders>
              <w:top w:val="nil"/>
              <w:left w:val="nil"/>
              <w:bottom w:val="nil"/>
              <w:right w:val="nil"/>
            </w:tcBorders>
            <w:shd w:val="clear" w:color="auto" w:fill="auto"/>
            <w:noWrap/>
            <w:vAlign w:val="bottom"/>
            <w:hideMark/>
          </w:tcPr>
          <w:p w14:paraId="3D51EC7B" w14:textId="0254DC7D"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1,09%</w:t>
            </w:r>
          </w:p>
        </w:tc>
        <w:tc>
          <w:tcPr>
            <w:tcW w:w="0" w:type="auto"/>
            <w:tcBorders>
              <w:top w:val="nil"/>
              <w:left w:val="nil"/>
              <w:bottom w:val="nil"/>
              <w:right w:val="nil"/>
            </w:tcBorders>
            <w:shd w:val="clear" w:color="auto" w:fill="auto"/>
            <w:noWrap/>
            <w:vAlign w:val="bottom"/>
            <w:hideMark/>
          </w:tcPr>
          <w:p w14:paraId="0AEA0B92" w14:textId="40A9B4BE"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3,20%</w:t>
            </w:r>
          </w:p>
        </w:tc>
        <w:tc>
          <w:tcPr>
            <w:tcW w:w="0" w:type="auto"/>
            <w:tcBorders>
              <w:top w:val="nil"/>
              <w:left w:val="nil"/>
              <w:bottom w:val="nil"/>
              <w:right w:val="nil"/>
            </w:tcBorders>
            <w:shd w:val="clear" w:color="auto" w:fill="auto"/>
            <w:noWrap/>
            <w:vAlign w:val="bottom"/>
            <w:hideMark/>
          </w:tcPr>
          <w:p w14:paraId="4FCA8E32" w14:textId="737974BB"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4,03%</w:t>
            </w:r>
          </w:p>
        </w:tc>
      </w:tr>
      <w:tr w:rsidR="009F3E54" w:rsidRPr="00AF6C11" w14:paraId="15C602E3"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18BF7548" w14:textId="2134F07B"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Cencosud S.A.</w:t>
            </w:r>
          </w:p>
        </w:tc>
        <w:tc>
          <w:tcPr>
            <w:tcW w:w="0" w:type="auto"/>
            <w:tcBorders>
              <w:top w:val="nil"/>
              <w:left w:val="nil"/>
              <w:bottom w:val="nil"/>
              <w:right w:val="nil"/>
            </w:tcBorders>
            <w:shd w:val="clear" w:color="auto" w:fill="auto"/>
            <w:noWrap/>
            <w:vAlign w:val="bottom"/>
            <w:hideMark/>
          </w:tcPr>
          <w:p w14:paraId="0402FEC9" w14:textId="6FE33DA3"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5,00%</w:t>
            </w:r>
          </w:p>
        </w:tc>
        <w:tc>
          <w:tcPr>
            <w:tcW w:w="0" w:type="auto"/>
            <w:tcBorders>
              <w:top w:val="nil"/>
              <w:left w:val="nil"/>
              <w:bottom w:val="nil"/>
              <w:right w:val="nil"/>
            </w:tcBorders>
            <w:shd w:val="clear" w:color="auto" w:fill="auto"/>
            <w:noWrap/>
            <w:vAlign w:val="bottom"/>
            <w:hideMark/>
          </w:tcPr>
          <w:p w14:paraId="01F51E45" w14:textId="7BC07CDD"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2,95%</w:t>
            </w:r>
          </w:p>
        </w:tc>
        <w:tc>
          <w:tcPr>
            <w:tcW w:w="0" w:type="auto"/>
            <w:tcBorders>
              <w:top w:val="nil"/>
              <w:left w:val="nil"/>
              <w:bottom w:val="nil"/>
              <w:right w:val="nil"/>
            </w:tcBorders>
            <w:shd w:val="clear" w:color="auto" w:fill="auto"/>
            <w:noWrap/>
            <w:vAlign w:val="bottom"/>
            <w:hideMark/>
          </w:tcPr>
          <w:p w14:paraId="3396E7DA" w14:textId="228324CC" w:rsidR="009F3E54" w:rsidRPr="00AF6C11" w:rsidRDefault="009F3E54" w:rsidP="009F3E54">
            <w:pPr>
              <w:jc w:val="center"/>
              <w:rPr>
                <w:rFonts w:ascii="Times New Roman" w:eastAsia="Times New Roman" w:hAnsi="Times New Roman" w:cs="Times New Roman"/>
                <w:color w:val="auto"/>
                <w:sz w:val="20"/>
                <w:szCs w:val="20"/>
                <w:lang w:eastAsia="es-CL"/>
              </w:rPr>
            </w:pPr>
            <w:r>
              <w:rPr>
                <w:rFonts w:cs="Calibri"/>
                <w:color w:val="333D6B"/>
                <w:sz w:val="16"/>
                <w:szCs w:val="16"/>
              </w:rPr>
              <w:t>3,50%</w:t>
            </w:r>
          </w:p>
        </w:tc>
        <w:tc>
          <w:tcPr>
            <w:tcW w:w="0" w:type="auto"/>
            <w:tcBorders>
              <w:top w:val="nil"/>
              <w:left w:val="nil"/>
              <w:bottom w:val="nil"/>
              <w:right w:val="nil"/>
            </w:tcBorders>
            <w:shd w:val="clear" w:color="auto" w:fill="auto"/>
            <w:noWrap/>
            <w:vAlign w:val="bottom"/>
            <w:hideMark/>
          </w:tcPr>
          <w:p w14:paraId="3F49652C" w14:textId="2C8DA233"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3,29%</w:t>
            </w:r>
          </w:p>
        </w:tc>
        <w:tc>
          <w:tcPr>
            <w:tcW w:w="0" w:type="auto"/>
            <w:tcBorders>
              <w:top w:val="nil"/>
              <w:left w:val="nil"/>
              <w:bottom w:val="nil"/>
              <w:right w:val="nil"/>
            </w:tcBorders>
            <w:shd w:val="clear" w:color="auto" w:fill="auto"/>
            <w:noWrap/>
            <w:vAlign w:val="bottom"/>
            <w:hideMark/>
          </w:tcPr>
          <w:p w14:paraId="7DBB24B1" w14:textId="652EA9E8"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4,66%</w:t>
            </w:r>
          </w:p>
        </w:tc>
        <w:tc>
          <w:tcPr>
            <w:tcW w:w="0" w:type="auto"/>
            <w:tcBorders>
              <w:top w:val="nil"/>
              <w:left w:val="nil"/>
              <w:bottom w:val="nil"/>
              <w:right w:val="nil"/>
            </w:tcBorders>
            <w:shd w:val="clear" w:color="auto" w:fill="auto"/>
            <w:noWrap/>
            <w:vAlign w:val="bottom"/>
            <w:hideMark/>
          </w:tcPr>
          <w:p w14:paraId="0F7BA718" w14:textId="0A55F5A0"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3,96%</w:t>
            </w:r>
          </w:p>
        </w:tc>
      </w:tr>
      <w:tr w:rsidR="009F3E54" w:rsidRPr="00AF6C11" w14:paraId="7F1B7354"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686976A9" w14:textId="50BDCC0F" w:rsidR="009F3E54" w:rsidRPr="00644B71" w:rsidRDefault="009F3E54" w:rsidP="009F3E54">
            <w:pPr>
              <w:rPr>
                <w:rFonts w:eastAsia="Times New Roman" w:cs="Calibri"/>
                <w:color w:val="FFFFFF"/>
                <w:sz w:val="16"/>
                <w:szCs w:val="16"/>
                <w:lang w:eastAsia="es-CL"/>
              </w:rPr>
            </w:pPr>
            <w:proofErr w:type="spellStart"/>
            <w:r w:rsidRPr="00644B71">
              <w:rPr>
                <w:rFonts w:eastAsia="Times New Roman" w:cs="Calibri"/>
                <w:color w:val="FFFFFF"/>
                <w:sz w:val="16"/>
                <w:szCs w:val="16"/>
                <w:lang w:eastAsia="es-CL"/>
              </w:rPr>
              <w:t>Kallpa</w:t>
            </w:r>
            <w:proofErr w:type="spellEnd"/>
            <w:r w:rsidRPr="00644B71">
              <w:rPr>
                <w:rFonts w:eastAsia="Times New Roman" w:cs="Calibri"/>
                <w:color w:val="FFFFFF"/>
                <w:sz w:val="16"/>
                <w:szCs w:val="16"/>
                <w:lang w:eastAsia="es-CL"/>
              </w:rPr>
              <w:t xml:space="preserve"> </w:t>
            </w:r>
            <w:proofErr w:type="spellStart"/>
            <w:r w:rsidRPr="00644B71">
              <w:rPr>
                <w:rFonts w:eastAsia="Times New Roman" w:cs="Calibri"/>
                <w:color w:val="FFFFFF"/>
                <w:sz w:val="16"/>
                <w:szCs w:val="16"/>
                <w:lang w:eastAsia="es-CL"/>
              </w:rPr>
              <w:t>Generacion</w:t>
            </w:r>
            <w:proofErr w:type="spellEnd"/>
            <w:r w:rsidRPr="00644B71">
              <w:rPr>
                <w:rFonts w:eastAsia="Times New Roman" w:cs="Calibri"/>
                <w:color w:val="FFFFFF"/>
                <w:sz w:val="16"/>
                <w:szCs w:val="16"/>
                <w:lang w:eastAsia="es-CL"/>
              </w:rPr>
              <w:t xml:space="preserve"> S A</w:t>
            </w:r>
          </w:p>
        </w:tc>
        <w:tc>
          <w:tcPr>
            <w:tcW w:w="0" w:type="auto"/>
            <w:tcBorders>
              <w:top w:val="nil"/>
              <w:left w:val="nil"/>
              <w:bottom w:val="nil"/>
              <w:right w:val="nil"/>
            </w:tcBorders>
            <w:shd w:val="clear" w:color="auto" w:fill="auto"/>
            <w:noWrap/>
            <w:vAlign w:val="bottom"/>
            <w:hideMark/>
          </w:tcPr>
          <w:p w14:paraId="30FA1414" w14:textId="1EBCA6A9"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3,95%</w:t>
            </w:r>
          </w:p>
        </w:tc>
        <w:tc>
          <w:tcPr>
            <w:tcW w:w="0" w:type="auto"/>
            <w:tcBorders>
              <w:top w:val="nil"/>
              <w:left w:val="nil"/>
              <w:bottom w:val="nil"/>
              <w:right w:val="nil"/>
            </w:tcBorders>
            <w:shd w:val="clear" w:color="auto" w:fill="auto"/>
            <w:noWrap/>
            <w:vAlign w:val="bottom"/>
            <w:hideMark/>
          </w:tcPr>
          <w:p w14:paraId="04E0FF36" w14:textId="629F7D60"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2,30%</w:t>
            </w:r>
          </w:p>
        </w:tc>
        <w:tc>
          <w:tcPr>
            <w:tcW w:w="0" w:type="auto"/>
            <w:tcBorders>
              <w:top w:val="nil"/>
              <w:left w:val="nil"/>
              <w:bottom w:val="nil"/>
              <w:right w:val="nil"/>
            </w:tcBorders>
            <w:shd w:val="clear" w:color="auto" w:fill="auto"/>
            <w:noWrap/>
            <w:vAlign w:val="bottom"/>
            <w:hideMark/>
          </w:tcPr>
          <w:p w14:paraId="46AB7A15" w14:textId="1B99BF1E"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3,03%</w:t>
            </w:r>
          </w:p>
        </w:tc>
        <w:tc>
          <w:tcPr>
            <w:tcW w:w="0" w:type="auto"/>
            <w:tcBorders>
              <w:top w:val="nil"/>
              <w:left w:val="nil"/>
              <w:bottom w:val="nil"/>
              <w:right w:val="nil"/>
            </w:tcBorders>
            <w:shd w:val="clear" w:color="auto" w:fill="auto"/>
            <w:noWrap/>
            <w:vAlign w:val="bottom"/>
            <w:hideMark/>
          </w:tcPr>
          <w:p w14:paraId="3B774BB3" w14:textId="2E96FD7E"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2,13%</w:t>
            </w:r>
          </w:p>
        </w:tc>
        <w:tc>
          <w:tcPr>
            <w:tcW w:w="0" w:type="auto"/>
            <w:tcBorders>
              <w:top w:val="nil"/>
              <w:left w:val="nil"/>
              <w:bottom w:val="nil"/>
              <w:right w:val="nil"/>
            </w:tcBorders>
            <w:shd w:val="clear" w:color="auto" w:fill="auto"/>
            <w:noWrap/>
            <w:vAlign w:val="bottom"/>
            <w:hideMark/>
          </w:tcPr>
          <w:p w14:paraId="6A9FE439" w14:textId="7BCE6C30"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2,86%</w:t>
            </w:r>
          </w:p>
        </w:tc>
        <w:tc>
          <w:tcPr>
            <w:tcW w:w="0" w:type="auto"/>
            <w:tcBorders>
              <w:top w:val="nil"/>
              <w:left w:val="nil"/>
              <w:bottom w:val="nil"/>
              <w:right w:val="nil"/>
            </w:tcBorders>
            <w:shd w:val="clear" w:color="auto" w:fill="auto"/>
            <w:noWrap/>
            <w:vAlign w:val="bottom"/>
            <w:hideMark/>
          </w:tcPr>
          <w:p w14:paraId="13034284" w14:textId="1D0C1B4C"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3,96%</w:t>
            </w:r>
          </w:p>
        </w:tc>
      </w:tr>
      <w:tr w:rsidR="009F3E54" w:rsidRPr="00AF6C11" w14:paraId="7AA2CC92"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5B245241" w14:textId="681310B9" w:rsidR="009F3E54" w:rsidRPr="00644B71" w:rsidRDefault="009F3E54" w:rsidP="009F3E54">
            <w:pPr>
              <w:rPr>
                <w:rFonts w:eastAsia="Times New Roman" w:cs="Calibri"/>
                <w:color w:val="FFFFFF"/>
                <w:sz w:val="16"/>
                <w:szCs w:val="16"/>
                <w:lang w:eastAsia="es-CL"/>
              </w:rPr>
            </w:pPr>
            <w:r w:rsidRPr="00644B71">
              <w:rPr>
                <w:rFonts w:eastAsia="Times New Roman" w:cs="Calibri"/>
                <w:color w:val="FFFFFF"/>
                <w:sz w:val="16"/>
                <w:szCs w:val="16"/>
                <w:lang w:eastAsia="es-CL"/>
              </w:rPr>
              <w:t>Empresa Nacional de Telecomunicaciones S.A.</w:t>
            </w:r>
          </w:p>
        </w:tc>
        <w:tc>
          <w:tcPr>
            <w:tcW w:w="0" w:type="auto"/>
            <w:tcBorders>
              <w:top w:val="nil"/>
              <w:left w:val="nil"/>
              <w:bottom w:val="nil"/>
              <w:right w:val="nil"/>
            </w:tcBorders>
            <w:shd w:val="clear" w:color="auto" w:fill="auto"/>
            <w:noWrap/>
            <w:vAlign w:val="bottom"/>
            <w:hideMark/>
          </w:tcPr>
          <w:p w14:paraId="1B746174" w14:textId="747FEF00" w:rsidR="009F3E54" w:rsidRPr="00AF6C11" w:rsidRDefault="009F3E54" w:rsidP="009F3E54">
            <w:pPr>
              <w:jc w:val="center"/>
              <w:rPr>
                <w:rFonts w:eastAsia="Times New Roman" w:cs="Calibri"/>
                <w:color w:val="FFFFFF"/>
                <w:sz w:val="16"/>
                <w:szCs w:val="16"/>
                <w:lang w:eastAsia="es-CL"/>
              </w:rPr>
            </w:pPr>
            <w:r>
              <w:rPr>
                <w:rFonts w:cs="Calibri"/>
                <w:color w:val="333D6B"/>
                <w:sz w:val="16"/>
                <w:szCs w:val="16"/>
              </w:rPr>
              <w:t>6,11%</w:t>
            </w:r>
          </w:p>
        </w:tc>
        <w:tc>
          <w:tcPr>
            <w:tcW w:w="0" w:type="auto"/>
            <w:tcBorders>
              <w:top w:val="nil"/>
              <w:left w:val="nil"/>
              <w:bottom w:val="nil"/>
              <w:right w:val="nil"/>
            </w:tcBorders>
            <w:shd w:val="clear" w:color="auto" w:fill="auto"/>
            <w:noWrap/>
            <w:vAlign w:val="bottom"/>
            <w:hideMark/>
          </w:tcPr>
          <w:p w14:paraId="5ACB70D0" w14:textId="1643AB37"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2,62%</w:t>
            </w:r>
          </w:p>
        </w:tc>
        <w:tc>
          <w:tcPr>
            <w:tcW w:w="0" w:type="auto"/>
            <w:tcBorders>
              <w:top w:val="nil"/>
              <w:left w:val="nil"/>
              <w:bottom w:val="nil"/>
              <w:right w:val="nil"/>
            </w:tcBorders>
            <w:shd w:val="clear" w:color="auto" w:fill="auto"/>
            <w:noWrap/>
            <w:vAlign w:val="bottom"/>
            <w:hideMark/>
          </w:tcPr>
          <w:p w14:paraId="49B3B4F4" w14:textId="3D0C121B"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2,45%</w:t>
            </w:r>
          </w:p>
        </w:tc>
        <w:tc>
          <w:tcPr>
            <w:tcW w:w="0" w:type="auto"/>
            <w:tcBorders>
              <w:top w:val="nil"/>
              <w:left w:val="nil"/>
              <w:bottom w:val="nil"/>
              <w:right w:val="nil"/>
            </w:tcBorders>
            <w:shd w:val="clear" w:color="auto" w:fill="auto"/>
            <w:noWrap/>
            <w:vAlign w:val="bottom"/>
            <w:hideMark/>
          </w:tcPr>
          <w:p w14:paraId="0E31C2DE" w14:textId="36CBF355"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1,72%</w:t>
            </w:r>
          </w:p>
        </w:tc>
        <w:tc>
          <w:tcPr>
            <w:tcW w:w="0" w:type="auto"/>
            <w:tcBorders>
              <w:top w:val="nil"/>
              <w:left w:val="nil"/>
              <w:bottom w:val="nil"/>
              <w:right w:val="nil"/>
            </w:tcBorders>
            <w:shd w:val="clear" w:color="auto" w:fill="auto"/>
            <w:noWrap/>
            <w:vAlign w:val="bottom"/>
            <w:hideMark/>
          </w:tcPr>
          <w:p w14:paraId="260D8A67" w14:textId="24BF5356"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3,01%</w:t>
            </w:r>
          </w:p>
        </w:tc>
        <w:tc>
          <w:tcPr>
            <w:tcW w:w="0" w:type="auto"/>
            <w:tcBorders>
              <w:top w:val="nil"/>
              <w:left w:val="nil"/>
              <w:bottom w:val="nil"/>
              <w:right w:val="nil"/>
            </w:tcBorders>
            <w:shd w:val="clear" w:color="auto" w:fill="auto"/>
            <w:noWrap/>
            <w:vAlign w:val="bottom"/>
            <w:hideMark/>
          </w:tcPr>
          <w:p w14:paraId="70835D65" w14:textId="4BF13712" w:rsidR="009F3E54" w:rsidRPr="00AF6C11" w:rsidRDefault="009F3E54" w:rsidP="009F3E54">
            <w:pPr>
              <w:jc w:val="center"/>
              <w:rPr>
                <w:rFonts w:eastAsia="Times New Roman" w:cs="Calibri"/>
                <w:color w:val="333D6B"/>
                <w:sz w:val="16"/>
                <w:szCs w:val="16"/>
                <w:lang w:eastAsia="es-CL"/>
              </w:rPr>
            </w:pPr>
            <w:r>
              <w:rPr>
                <w:rFonts w:cs="Calibri"/>
                <w:color w:val="333D6B"/>
                <w:sz w:val="16"/>
                <w:szCs w:val="16"/>
              </w:rPr>
              <w:t>3,71%</w:t>
            </w:r>
          </w:p>
        </w:tc>
      </w:tr>
      <w:tr w:rsidR="009F3E54" w:rsidRPr="00AF6C11" w14:paraId="419C8D07"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528EF7FF" w14:textId="3A7C3CFA" w:rsidR="009F3E54" w:rsidRPr="00AF6C11" w:rsidRDefault="009F3E54" w:rsidP="009F3E54">
            <w:pPr>
              <w:rPr>
                <w:rFonts w:eastAsia="Times New Roman" w:cs="Calibri"/>
                <w:b/>
                <w:bCs/>
                <w:color w:val="FFFFFF"/>
                <w:sz w:val="16"/>
                <w:szCs w:val="16"/>
                <w:lang w:eastAsia="es-CL"/>
              </w:rPr>
            </w:pPr>
            <w:r w:rsidRPr="00644B71">
              <w:rPr>
                <w:rFonts w:eastAsia="Times New Roman" w:cs="Calibri"/>
                <w:b/>
                <w:bCs/>
                <w:color w:val="FFFFFF"/>
                <w:sz w:val="16"/>
                <w:szCs w:val="16"/>
                <w:lang w:eastAsia="es-CL"/>
              </w:rPr>
              <w:t>Sub Total</w:t>
            </w:r>
          </w:p>
        </w:tc>
        <w:tc>
          <w:tcPr>
            <w:tcW w:w="0" w:type="auto"/>
            <w:tcBorders>
              <w:top w:val="nil"/>
              <w:left w:val="nil"/>
              <w:bottom w:val="nil"/>
              <w:right w:val="nil"/>
            </w:tcBorders>
            <w:shd w:val="clear" w:color="auto" w:fill="auto"/>
            <w:noWrap/>
            <w:vAlign w:val="bottom"/>
            <w:hideMark/>
          </w:tcPr>
          <w:p w14:paraId="51CCCE52" w14:textId="7C2C958E"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16,73%</w:t>
            </w:r>
          </w:p>
        </w:tc>
        <w:tc>
          <w:tcPr>
            <w:tcW w:w="0" w:type="auto"/>
            <w:tcBorders>
              <w:top w:val="nil"/>
              <w:left w:val="nil"/>
              <w:bottom w:val="nil"/>
              <w:right w:val="nil"/>
            </w:tcBorders>
            <w:shd w:val="clear" w:color="auto" w:fill="auto"/>
            <w:noWrap/>
            <w:vAlign w:val="bottom"/>
            <w:hideMark/>
          </w:tcPr>
          <w:p w14:paraId="39141414" w14:textId="21199FE8"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15,19%</w:t>
            </w:r>
          </w:p>
        </w:tc>
        <w:tc>
          <w:tcPr>
            <w:tcW w:w="0" w:type="auto"/>
            <w:tcBorders>
              <w:top w:val="nil"/>
              <w:left w:val="nil"/>
              <w:bottom w:val="nil"/>
              <w:right w:val="nil"/>
            </w:tcBorders>
            <w:shd w:val="clear" w:color="auto" w:fill="auto"/>
            <w:noWrap/>
            <w:vAlign w:val="bottom"/>
            <w:hideMark/>
          </w:tcPr>
          <w:p w14:paraId="52531982" w14:textId="1441A039"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14,28%</w:t>
            </w:r>
          </w:p>
        </w:tc>
        <w:tc>
          <w:tcPr>
            <w:tcW w:w="0" w:type="auto"/>
            <w:tcBorders>
              <w:top w:val="nil"/>
              <w:left w:val="nil"/>
              <w:bottom w:val="nil"/>
              <w:right w:val="nil"/>
            </w:tcBorders>
            <w:shd w:val="clear" w:color="auto" w:fill="auto"/>
            <w:noWrap/>
            <w:vAlign w:val="bottom"/>
            <w:hideMark/>
          </w:tcPr>
          <w:p w14:paraId="59066CB0" w14:textId="54C575D0"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20,01%</w:t>
            </w:r>
          </w:p>
        </w:tc>
        <w:tc>
          <w:tcPr>
            <w:tcW w:w="0" w:type="auto"/>
            <w:tcBorders>
              <w:top w:val="nil"/>
              <w:left w:val="nil"/>
              <w:bottom w:val="nil"/>
              <w:right w:val="nil"/>
            </w:tcBorders>
            <w:shd w:val="clear" w:color="auto" w:fill="auto"/>
            <w:noWrap/>
            <w:vAlign w:val="bottom"/>
            <w:hideMark/>
          </w:tcPr>
          <w:p w14:paraId="66847B52" w14:textId="25AC1ECC"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30,94%</w:t>
            </w:r>
          </w:p>
        </w:tc>
        <w:tc>
          <w:tcPr>
            <w:tcW w:w="0" w:type="auto"/>
            <w:tcBorders>
              <w:top w:val="nil"/>
              <w:left w:val="nil"/>
              <w:bottom w:val="nil"/>
              <w:right w:val="nil"/>
            </w:tcBorders>
            <w:shd w:val="clear" w:color="auto" w:fill="auto"/>
            <w:noWrap/>
            <w:vAlign w:val="bottom"/>
            <w:hideMark/>
          </w:tcPr>
          <w:p w14:paraId="037BDB66" w14:textId="70FDCD28"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35,80%</w:t>
            </w:r>
          </w:p>
        </w:tc>
      </w:tr>
      <w:tr w:rsidR="009F3E54" w:rsidRPr="00AF6C11" w14:paraId="28C338EA" w14:textId="77777777" w:rsidTr="009F3E54">
        <w:trPr>
          <w:trHeight w:val="283"/>
          <w:jc w:val="center"/>
        </w:trPr>
        <w:tc>
          <w:tcPr>
            <w:tcW w:w="0" w:type="auto"/>
            <w:tcBorders>
              <w:top w:val="nil"/>
              <w:left w:val="nil"/>
              <w:bottom w:val="nil"/>
              <w:right w:val="nil"/>
            </w:tcBorders>
            <w:shd w:val="clear" w:color="000000" w:fill="AE1619"/>
            <w:noWrap/>
            <w:vAlign w:val="bottom"/>
            <w:hideMark/>
          </w:tcPr>
          <w:p w14:paraId="2DDB2F7E" w14:textId="5C2FD08C" w:rsidR="009F3E54" w:rsidRPr="00AF6C11" w:rsidRDefault="009F3E54" w:rsidP="009F3E54">
            <w:pPr>
              <w:rPr>
                <w:rFonts w:eastAsia="Times New Roman" w:cs="Calibri"/>
                <w:b/>
                <w:bCs/>
                <w:color w:val="FFFFFF"/>
                <w:sz w:val="16"/>
                <w:szCs w:val="16"/>
                <w:lang w:eastAsia="es-CL"/>
              </w:rPr>
            </w:pPr>
            <w:r w:rsidRPr="00644B71">
              <w:rPr>
                <w:rFonts w:eastAsia="Times New Roman" w:cs="Calibri"/>
                <w:b/>
                <w:bCs/>
                <w:color w:val="FFFFFF"/>
                <w:sz w:val="16"/>
                <w:szCs w:val="16"/>
                <w:lang w:eastAsia="es-CL"/>
              </w:rPr>
              <w:t>8 Principales</w:t>
            </w:r>
          </w:p>
        </w:tc>
        <w:tc>
          <w:tcPr>
            <w:tcW w:w="0" w:type="auto"/>
            <w:tcBorders>
              <w:top w:val="nil"/>
              <w:left w:val="nil"/>
              <w:bottom w:val="nil"/>
              <w:right w:val="nil"/>
            </w:tcBorders>
            <w:shd w:val="clear" w:color="auto" w:fill="auto"/>
            <w:noWrap/>
            <w:vAlign w:val="bottom"/>
            <w:hideMark/>
          </w:tcPr>
          <w:p w14:paraId="4CB9C878" w14:textId="4DC3F4A5"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39,13%</w:t>
            </w:r>
          </w:p>
        </w:tc>
        <w:tc>
          <w:tcPr>
            <w:tcW w:w="0" w:type="auto"/>
            <w:tcBorders>
              <w:top w:val="nil"/>
              <w:left w:val="nil"/>
              <w:bottom w:val="nil"/>
              <w:right w:val="nil"/>
            </w:tcBorders>
            <w:shd w:val="clear" w:color="auto" w:fill="auto"/>
            <w:noWrap/>
            <w:vAlign w:val="bottom"/>
            <w:hideMark/>
          </w:tcPr>
          <w:p w14:paraId="0E4C7951" w14:textId="549B830E"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40,05%</w:t>
            </w:r>
          </w:p>
        </w:tc>
        <w:tc>
          <w:tcPr>
            <w:tcW w:w="0" w:type="auto"/>
            <w:tcBorders>
              <w:top w:val="nil"/>
              <w:left w:val="nil"/>
              <w:bottom w:val="nil"/>
              <w:right w:val="nil"/>
            </w:tcBorders>
            <w:shd w:val="clear" w:color="auto" w:fill="auto"/>
            <w:noWrap/>
            <w:vAlign w:val="bottom"/>
            <w:hideMark/>
          </w:tcPr>
          <w:p w14:paraId="26D6C41C" w14:textId="255D781D"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34,14%</w:t>
            </w:r>
          </w:p>
        </w:tc>
        <w:tc>
          <w:tcPr>
            <w:tcW w:w="0" w:type="auto"/>
            <w:tcBorders>
              <w:top w:val="nil"/>
              <w:left w:val="nil"/>
              <w:bottom w:val="nil"/>
              <w:right w:val="nil"/>
            </w:tcBorders>
            <w:shd w:val="clear" w:color="auto" w:fill="auto"/>
            <w:noWrap/>
            <w:vAlign w:val="bottom"/>
            <w:hideMark/>
          </w:tcPr>
          <w:p w14:paraId="182E3C0B" w14:textId="592CCB50"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36,59%</w:t>
            </w:r>
          </w:p>
        </w:tc>
        <w:tc>
          <w:tcPr>
            <w:tcW w:w="0" w:type="auto"/>
            <w:tcBorders>
              <w:top w:val="nil"/>
              <w:left w:val="nil"/>
              <w:bottom w:val="nil"/>
              <w:right w:val="nil"/>
            </w:tcBorders>
            <w:shd w:val="clear" w:color="auto" w:fill="auto"/>
            <w:noWrap/>
            <w:vAlign w:val="bottom"/>
            <w:hideMark/>
          </w:tcPr>
          <w:p w14:paraId="40C22B9E" w14:textId="2CF55CBF"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34,02%</w:t>
            </w:r>
          </w:p>
        </w:tc>
        <w:tc>
          <w:tcPr>
            <w:tcW w:w="0" w:type="auto"/>
            <w:tcBorders>
              <w:top w:val="nil"/>
              <w:left w:val="nil"/>
              <w:bottom w:val="nil"/>
              <w:right w:val="nil"/>
            </w:tcBorders>
            <w:shd w:val="clear" w:color="auto" w:fill="auto"/>
            <w:noWrap/>
            <w:vAlign w:val="bottom"/>
            <w:hideMark/>
          </w:tcPr>
          <w:p w14:paraId="74101A05" w14:textId="372C2E0D" w:rsidR="009F3E54" w:rsidRPr="00AF6C11" w:rsidRDefault="009F3E54" w:rsidP="009F3E54">
            <w:pPr>
              <w:jc w:val="center"/>
              <w:rPr>
                <w:rFonts w:eastAsia="Times New Roman" w:cs="Calibri"/>
                <w:b/>
                <w:bCs/>
                <w:color w:val="333D6B"/>
                <w:sz w:val="16"/>
                <w:szCs w:val="16"/>
                <w:lang w:eastAsia="es-CL"/>
              </w:rPr>
            </w:pPr>
            <w:r>
              <w:rPr>
                <w:rFonts w:cs="Calibri"/>
                <w:b/>
                <w:bCs/>
                <w:color w:val="333D6B"/>
                <w:sz w:val="16"/>
                <w:szCs w:val="16"/>
              </w:rPr>
              <w:t>35,80%</w:t>
            </w:r>
          </w:p>
        </w:tc>
      </w:tr>
    </w:tbl>
    <w:p w14:paraId="76B38F6C" w14:textId="77777777" w:rsidR="00EE1AD9" w:rsidRPr="00A22A0E" w:rsidRDefault="00EE1AD9" w:rsidP="00A22A0E">
      <w:pPr>
        <w:pStyle w:val="Ttulo"/>
        <w:spacing w:before="0"/>
        <w:rPr>
          <w:sz w:val="20"/>
          <w:szCs w:val="20"/>
        </w:rPr>
      </w:pPr>
    </w:p>
    <w:p w14:paraId="5475E8DD" w14:textId="1FAACE28" w:rsidR="003D1AB6" w:rsidRPr="00CF5254" w:rsidRDefault="003D1AB6" w:rsidP="003D1AB6">
      <w:pPr>
        <w:pStyle w:val="Ttulo"/>
      </w:pPr>
      <w:r w:rsidRPr="00CF5254">
        <w:t>Liquidez del fondo y las cuotas</w:t>
      </w:r>
    </w:p>
    <w:p w14:paraId="6E057A26" w14:textId="79A528D2" w:rsidR="00E35EA5" w:rsidRDefault="00FC4E93" w:rsidP="00FC4E93">
      <w:pPr>
        <w:spacing w:after="120"/>
        <w:jc w:val="both"/>
      </w:pPr>
      <w:bookmarkStart w:id="9" w:name="_Ref77539552"/>
      <w:r w:rsidRPr="003A0272">
        <w:rPr>
          <w:bCs/>
          <w:lang w:val="es-ES"/>
        </w:rPr>
        <w:t>El reglamento interno</w:t>
      </w:r>
      <w:r w:rsidR="00CD686F">
        <w:rPr>
          <w:bCs/>
          <w:lang w:val="es-ES"/>
        </w:rPr>
        <w:t xml:space="preserve"> de</w:t>
      </w:r>
      <w:r w:rsidRPr="003A0272">
        <w:rPr>
          <w:bCs/>
          <w:lang w:val="es-ES"/>
        </w:rPr>
        <w:t xml:space="preserve"> </w:t>
      </w:r>
      <w:r w:rsidR="00CD686F" w:rsidRPr="00FA1F66">
        <w:rPr>
          <w:b/>
          <w:lang w:val="es-ES"/>
        </w:rPr>
        <w:t xml:space="preserve">FM </w:t>
      </w:r>
      <w:proofErr w:type="spellStart"/>
      <w:r w:rsidR="00CD686F" w:rsidRPr="00FA1F66">
        <w:rPr>
          <w:b/>
          <w:lang w:val="es-ES"/>
        </w:rPr>
        <w:t>Latam</w:t>
      </w:r>
      <w:proofErr w:type="spellEnd"/>
      <w:r w:rsidR="00CD686F" w:rsidRPr="00FA1F66">
        <w:rPr>
          <w:b/>
          <w:lang w:val="es-ES"/>
        </w:rPr>
        <w:t xml:space="preserve"> </w:t>
      </w:r>
      <w:proofErr w:type="spellStart"/>
      <w:r w:rsidR="00CD686F" w:rsidRPr="00FA1F66">
        <w:rPr>
          <w:b/>
          <w:lang w:val="es-ES"/>
        </w:rPr>
        <w:t>Corporate</w:t>
      </w:r>
      <w:proofErr w:type="spellEnd"/>
      <w:r w:rsidR="00CD686F" w:rsidRPr="00FA1F66">
        <w:rPr>
          <w:bCs/>
          <w:lang w:val="es-ES"/>
        </w:rPr>
        <w:t xml:space="preserve"> </w:t>
      </w:r>
      <w:r w:rsidR="00212868">
        <w:rPr>
          <w:bCs/>
          <w:lang w:val="es-ES"/>
        </w:rPr>
        <w:t>señala que</w:t>
      </w:r>
      <w:r w:rsidR="00CD686F">
        <w:rPr>
          <w:bCs/>
          <w:lang w:val="es-ES"/>
        </w:rPr>
        <w:t xml:space="preserve"> el fondo</w:t>
      </w:r>
      <w:r w:rsidR="00212868">
        <w:rPr>
          <w:bCs/>
          <w:lang w:val="es-ES"/>
        </w:rPr>
        <w:t xml:space="preserve"> </w:t>
      </w:r>
      <w:r w:rsidR="00CD686F">
        <w:t xml:space="preserve">deberá mantener una inversión mínima de un 3% respecto del total de activos en instrumentos de fácil liquidación, </w:t>
      </w:r>
      <w:r w:rsidR="00570E35">
        <w:t>entendiendo por ello</w:t>
      </w:r>
      <w:r w:rsidR="00E35EA5">
        <w:t xml:space="preserve"> </w:t>
      </w:r>
      <w:r w:rsidR="007D2692">
        <w:t>los</w:t>
      </w:r>
      <w:r w:rsidR="00E35EA5">
        <w:t xml:space="preserve"> siguientes instrumentos:</w:t>
      </w:r>
    </w:p>
    <w:p w14:paraId="0D2663B2" w14:textId="77777777" w:rsidR="00FA2E97" w:rsidRDefault="00FA2E97" w:rsidP="00FA2E97">
      <w:pPr>
        <w:pStyle w:val="Prrafodelista"/>
        <w:numPr>
          <w:ilvl w:val="0"/>
          <w:numId w:val="20"/>
        </w:numPr>
        <w:spacing w:after="120"/>
        <w:jc w:val="both"/>
      </w:pPr>
      <w:r>
        <w:t>Instrumentos de deuda emitidos o garantizados por el Estado, Tesorería General de la República y/o Banco Central de Chile.</w:t>
      </w:r>
    </w:p>
    <w:p w14:paraId="0F8E70B7" w14:textId="77777777" w:rsidR="00FA2E97" w:rsidRDefault="00FA2E97" w:rsidP="00FA2E97">
      <w:pPr>
        <w:pStyle w:val="Prrafodelista"/>
        <w:numPr>
          <w:ilvl w:val="0"/>
          <w:numId w:val="20"/>
        </w:numPr>
        <w:spacing w:after="120"/>
        <w:jc w:val="both"/>
      </w:pPr>
      <w:r>
        <w:t>Depósitos con plazo de vencimiento menor o igual a 180 días.</w:t>
      </w:r>
    </w:p>
    <w:p w14:paraId="1D662FD0" w14:textId="77777777" w:rsidR="00FA2E97" w:rsidRDefault="00FA2E97" w:rsidP="00FA2E97">
      <w:pPr>
        <w:pStyle w:val="Prrafodelista"/>
        <w:numPr>
          <w:ilvl w:val="0"/>
          <w:numId w:val="20"/>
        </w:numPr>
        <w:spacing w:after="120"/>
        <w:jc w:val="both"/>
      </w:pPr>
      <w:r>
        <w:t>Bonos emitidos o garantizados por Bancos e Instituciones Financieras con plazo de vencimiento menor o igual a 180 días.</w:t>
      </w:r>
    </w:p>
    <w:p w14:paraId="75A30488" w14:textId="77777777" w:rsidR="00FA2E97" w:rsidRDefault="00FA2E97" w:rsidP="00FA2E97">
      <w:pPr>
        <w:pStyle w:val="Prrafodelista"/>
        <w:numPr>
          <w:ilvl w:val="0"/>
          <w:numId w:val="20"/>
        </w:numPr>
        <w:spacing w:after="120"/>
        <w:jc w:val="both"/>
      </w:pPr>
      <w:r>
        <w:t>Cuotas de fondos mutuos nacionales.</w:t>
      </w:r>
    </w:p>
    <w:p w14:paraId="027ED00E" w14:textId="77777777" w:rsidR="00FA2E97" w:rsidRDefault="00FA2E97" w:rsidP="00FA2E97">
      <w:pPr>
        <w:pStyle w:val="Prrafodelista"/>
        <w:numPr>
          <w:ilvl w:val="0"/>
          <w:numId w:val="20"/>
        </w:numPr>
        <w:spacing w:after="120"/>
        <w:jc w:val="both"/>
      </w:pPr>
      <w:r>
        <w:t>Cuotas de fondos extranjeros rescatables con pagos igual o menor a 10 días corridos.</w:t>
      </w:r>
    </w:p>
    <w:p w14:paraId="48EF3243" w14:textId="77777777" w:rsidR="00FA2E97" w:rsidRDefault="00FA2E97" w:rsidP="00FA2E97">
      <w:pPr>
        <w:pStyle w:val="Prrafodelista"/>
        <w:numPr>
          <w:ilvl w:val="0"/>
          <w:numId w:val="20"/>
        </w:numPr>
        <w:spacing w:after="120"/>
        <w:jc w:val="both"/>
      </w:pPr>
      <w:r>
        <w:t xml:space="preserve">Instrumentos de deuda emitidos por Estados o Bancos Centrales de países con clasificación de riesgo </w:t>
      </w:r>
      <w:proofErr w:type="spellStart"/>
      <w:r w:rsidRPr="00BD5820">
        <w:rPr>
          <w:i/>
          <w:iCs/>
        </w:rPr>
        <w:t>Investment</w:t>
      </w:r>
      <w:proofErr w:type="spellEnd"/>
      <w:r w:rsidRPr="00BD5820">
        <w:rPr>
          <w:i/>
          <w:iCs/>
        </w:rPr>
        <w:t xml:space="preserve"> Grade</w:t>
      </w:r>
      <w:r>
        <w:t xml:space="preserve"> (categoría BBB- o superior).</w:t>
      </w:r>
    </w:p>
    <w:p w14:paraId="3C13F9B5" w14:textId="589DC4E8" w:rsidR="00FA2E97" w:rsidRDefault="00FA2E97" w:rsidP="00FA2E97">
      <w:pPr>
        <w:pStyle w:val="Prrafodelista"/>
        <w:numPr>
          <w:ilvl w:val="0"/>
          <w:numId w:val="20"/>
        </w:numPr>
        <w:spacing w:after="120"/>
        <w:jc w:val="both"/>
      </w:pPr>
      <w:r>
        <w:t>Otros instrumentos de deuda, cuya emisión sea superior a USD 1.000</w:t>
      </w:r>
      <w:r w:rsidR="00B9372D">
        <w:t xml:space="preserve"> millones</w:t>
      </w:r>
      <w:r>
        <w:t>.</w:t>
      </w:r>
    </w:p>
    <w:p w14:paraId="012621C4" w14:textId="77777777" w:rsidR="00FA2E97" w:rsidRDefault="00FA2E97" w:rsidP="00FA2E97">
      <w:pPr>
        <w:pStyle w:val="Prrafodelista"/>
        <w:numPr>
          <w:ilvl w:val="0"/>
          <w:numId w:val="20"/>
        </w:numPr>
        <w:spacing w:after="120"/>
        <w:jc w:val="both"/>
      </w:pPr>
      <w:r>
        <w:t>Cuotas de fondos nacionales con presencia bursátil igual o mayor a 75%.</w:t>
      </w:r>
    </w:p>
    <w:p w14:paraId="4113E404" w14:textId="3797E647" w:rsidR="00FA2E97" w:rsidRDefault="00FA2E97" w:rsidP="00FA2E97">
      <w:pPr>
        <w:pStyle w:val="Prrafodelista"/>
        <w:numPr>
          <w:ilvl w:val="0"/>
          <w:numId w:val="20"/>
        </w:numPr>
        <w:spacing w:after="120"/>
        <w:jc w:val="both"/>
      </w:pPr>
      <w:r>
        <w:t>Títulos representativos de Índices con monto promedio transado diario, considerando los volúmenes transados en la bolsa los últimos 3 meses, igual o mayor a USD 500</w:t>
      </w:r>
      <w:r w:rsidR="00B9372D">
        <w:t xml:space="preserve"> mil</w:t>
      </w:r>
      <w:r>
        <w:t>.</w:t>
      </w:r>
    </w:p>
    <w:p w14:paraId="37CC856A" w14:textId="5969FE25" w:rsidR="00B8091E" w:rsidRDefault="00FA2E97" w:rsidP="00FA2E97">
      <w:pPr>
        <w:pStyle w:val="Prrafodelista"/>
        <w:numPr>
          <w:ilvl w:val="0"/>
          <w:numId w:val="20"/>
        </w:numPr>
        <w:spacing w:after="120"/>
        <w:jc w:val="both"/>
      </w:pPr>
      <w:r>
        <w:t>Cuotas de fondos extranjeros con monto promedio transado diario, considerando los volúmenes transados en la bolsa los últimos 3 meses, igual o mayor a USD 500</w:t>
      </w:r>
      <w:r w:rsidR="00B9372D">
        <w:t xml:space="preserve"> mil.</w:t>
      </w:r>
      <w:r w:rsidR="0084622C">
        <w:t xml:space="preserve"> </w:t>
      </w:r>
    </w:p>
    <w:p w14:paraId="3B384AC0" w14:textId="40DB7FDC" w:rsidR="00E73DCD" w:rsidRDefault="00E73DCD" w:rsidP="00E73DCD">
      <w:pPr>
        <w:spacing w:after="120"/>
        <w:jc w:val="both"/>
        <w:rPr>
          <w:bCs/>
          <w:lang w:val="es-ES"/>
        </w:rPr>
      </w:pPr>
      <w:r w:rsidRPr="00FA1F66">
        <w:rPr>
          <w:bCs/>
          <w:lang w:val="es-ES"/>
        </w:rPr>
        <w:t>A</w:t>
      </w:r>
      <w:r w:rsidR="00341ACB">
        <w:rPr>
          <w:bCs/>
          <w:lang w:val="es-ES"/>
        </w:rPr>
        <w:t>l cierre de noviembre de 2022</w:t>
      </w:r>
      <w:r w:rsidRPr="00FA1F66">
        <w:rPr>
          <w:bCs/>
          <w:lang w:val="es-ES"/>
        </w:rPr>
        <w:t>, la cartera de inversión est</w:t>
      </w:r>
      <w:r w:rsidR="00341ACB">
        <w:rPr>
          <w:bCs/>
          <w:lang w:val="es-ES"/>
        </w:rPr>
        <w:t xml:space="preserve">aba </w:t>
      </w:r>
      <w:r w:rsidRPr="00FA1F66">
        <w:rPr>
          <w:bCs/>
          <w:lang w:val="es-ES"/>
        </w:rPr>
        <w:t>conformada principalmente por</w:t>
      </w:r>
      <w:r w:rsidR="00A733E4" w:rsidRPr="00FA1F66">
        <w:rPr>
          <w:bCs/>
          <w:lang w:val="es-ES"/>
        </w:rPr>
        <w:t xml:space="preserve"> </w:t>
      </w:r>
      <w:r w:rsidR="005432D0" w:rsidRPr="00FA1F66">
        <w:rPr>
          <w:bCs/>
          <w:lang w:val="es-ES"/>
        </w:rPr>
        <w:t>bonos de em</w:t>
      </w:r>
      <w:r w:rsidR="00695634" w:rsidRPr="00FA1F66">
        <w:rPr>
          <w:bCs/>
          <w:lang w:val="es-ES"/>
        </w:rPr>
        <w:t>presas extranjeras</w:t>
      </w:r>
      <w:r w:rsidR="00341ACB">
        <w:rPr>
          <w:bCs/>
          <w:lang w:val="es-ES"/>
        </w:rPr>
        <w:t xml:space="preserve"> (BEE)</w:t>
      </w:r>
      <w:r w:rsidR="00AF363D" w:rsidRPr="00FA1F66">
        <w:rPr>
          <w:bCs/>
          <w:lang w:val="es-ES"/>
        </w:rPr>
        <w:t xml:space="preserve"> </w:t>
      </w:r>
      <w:r w:rsidR="00341ACB">
        <w:rPr>
          <w:bCs/>
          <w:lang w:val="es-ES"/>
        </w:rPr>
        <w:t xml:space="preserve">con un </w:t>
      </w:r>
      <w:r w:rsidR="006500E1" w:rsidRPr="00FA1F66">
        <w:rPr>
          <w:bCs/>
          <w:lang w:val="es-ES"/>
        </w:rPr>
        <w:t>6</w:t>
      </w:r>
      <w:r w:rsidR="007C137A">
        <w:rPr>
          <w:bCs/>
          <w:lang w:val="es-ES"/>
        </w:rPr>
        <w:t>8</w:t>
      </w:r>
      <w:r w:rsidR="006500E1" w:rsidRPr="00FA1F66">
        <w:rPr>
          <w:bCs/>
          <w:lang w:val="es-ES"/>
        </w:rPr>
        <w:t>,</w:t>
      </w:r>
      <w:r w:rsidR="007C137A">
        <w:rPr>
          <w:bCs/>
          <w:lang w:val="es-ES"/>
        </w:rPr>
        <w:t>3</w:t>
      </w:r>
      <w:r w:rsidR="006500E1" w:rsidRPr="00FA1F66">
        <w:rPr>
          <w:bCs/>
          <w:lang w:val="es-ES"/>
        </w:rPr>
        <w:t>9</w:t>
      </w:r>
      <w:r w:rsidR="007C137A">
        <w:rPr>
          <w:bCs/>
          <w:lang w:val="es-ES"/>
        </w:rPr>
        <w:t>%</w:t>
      </w:r>
      <w:r w:rsidR="00BE17EA" w:rsidRPr="00FA1F66">
        <w:rPr>
          <w:bCs/>
          <w:lang w:val="es-ES"/>
        </w:rPr>
        <w:t xml:space="preserve"> y </w:t>
      </w:r>
      <w:r w:rsidR="00695634" w:rsidRPr="00FA1F66">
        <w:rPr>
          <w:bCs/>
          <w:lang w:val="es-ES"/>
        </w:rPr>
        <w:t xml:space="preserve">bonos </w:t>
      </w:r>
      <w:r w:rsidR="006500E1" w:rsidRPr="00FA1F66">
        <w:rPr>
          <w:bCs/>
          <w:lang w:val="es-ES"/>
        </w:rPr>
        <w:t>nacionales emitidos en el extranjero</w:t>
      </w:r>
      <w:r w:rsidR="007C137A">
        <w:rPr>
          <w:bCs/>
          <w:lang w:val="es-ES"/>
        </w:rPr>
        <w:t xml:space="preserve"> (BNEE)</w:t>
      </w:r>
      <w:r w:rsidR="00BF0DA4" w:rsidRPr="00FA1F66">
        <w:rPr>
          <w:bCs/>
          <w:lang w:val="es-ES"/>
        </w:rPr>
        <w:t xml:space="preserve"> </w:t>
      </w:r>
      <w:r w:rsidR="007C137A">
        <w:rPr>
          <w:bCs/>
          <w:lang w:val="es-ES"/>
        </w:rPr>
        <w:t xml:space="preserve">con un </w:t>
      </w:r>
      <w:r w:rsidR="006500E1" w:rsidRPr="00FA1F66">
        <w:rPr>
          <w:bCs/>
          <w:lang w:val="es-ES"/>
        </w:rPr>
        <w:t>1</w:t>
      </w:r>
      <w:r w:rsidR="007C137A">
        <w:rPr>
          <w:bCs/>
          <w:lang w:val="es-ES"/>
        </w:rPr>
        <w:t>7</w:t>
      </w:r>
      <w:r w:rsidR="006500E1" w:rsidRPr="00FA1F66">
        <w:rPr>
          <w:bCs/>
          <w:lang w:val="es-ES"/>
        </w:rPr>
        <w:t>,</w:t>
      </w:r>
      <w:r w:rsidR="007C137A">
        <w:rPr>
          <w:bCs/>
          <w:lang w:val="es-ES"/>
        </w:rPr>
        <w:t>76</w:t>
      </w:r>
      <w:r w:rsidR="00BF0DA4" w:rsidRPr="00FA1F66">
        <w:rPr>
          <w:bCs/>
          <w:lang w:val="es-ES"/>
        </w:rPr>
        <w:t xml:space="preserve">%, lo que convierte al </w:t>
      </w:r>
      <w:r w:rsidR="00BF0DA4" w:rsidRPr="00FA1F66">
        <w:rPr>
          <w:b/>
          <w:lang w:val="es-ES"/>
        </w:rPr>
        <w:t xml:space="preserve">FM </w:t>
      </w:r>
      <w:proofErr w:type="spellStart"/>
      <w:r w:rsidR="006500E1" w:rsidRPr="00FA1F66">
        <w:rPr>
          <w:b/>
          <w:lang w:val="es-ES"/>
        </w:rPr>
        <w:t>Latam</w:t>
      </w:r>
      <w:proofErr w:type="spellEnd"/>
      <w:r w:rsidR="006500E1" w:rsidRPr="00FA1F66">
        <w:rPr>
          <w:b/>
          <w:lang w:val="es-ES"/>
        </w:rPr>
        <w:t xml:space="preserve"> </w:t>
      </w:r>
      <w:proofErr w:type="spellStart"/>
      <w:r w:rsidR="006500E1" w:rsidRPr="00FA1F66">
        <w:rPr>
          <w:b/>
          <w:lang w:val="es-ES"/>
        </w:rPr>
        <w:t>Cor</w:t>
      </w:r>
      <w:r w:rsidR="00FA1F66" w:rsidRPr="00FA1F66">
        <w:rPr>
          <w:b/>
          <w:lang w:val="es-ES"/>
        </w:rPr>
        <w:t>porate</w:t>
      </w:r>
      <w:proofErr w:type="spellEnd"/>
      <w:r w:rsidR="00BF0DA4" w:rsidRPr="00FA1F66">
        <w:rPr>
          <w:bCs/>
          <w:lang w:val="es-ES"/>
        </w:rPr>
        <w:t xml:space="preserve"> en un fondo con adecuada liquidez, en particular en lo referido a </w:t>
      </w:r>
      <w:r w:rsidR="00FA1F66" w:rsidRPr="00FA1F66">
        <w:rPr>
          <w:bCs/>
          <w:lang w:val="es-ES"/>
        </w:rPr>
        <w:t>la aceptable</w:t>
      </w:r>
      <w:r w:rsidR="00BF0DA4" w:rsidRPr="00FA1F66">
        <w:rPr>
          <w:bCs/>
          <w:lang w:val="es-ES"/>
        </w:rPr>
        <w:t xml:space="preserve"> capacidad </w:t>
      </w:r>
      <w:r w:rsidR="00BF0DA4" w:rsidRPr="003A0272">
        <w:rPr>
          <w:bCs/>
          <w:lang w:val="es-ES"/>
        </w:rPr>
        <w:t>para enajenar los instrumentos de corto plazo</w:t>
      </w:r>
      <w:r w:rsidRPr="003A0272">
        <w:rPr>
          <w:bCs/>
          <w:lang w:val="es-ES"/>
        </w:rPr>
        <w:t xml:space="preserve">. </w:t>
      </w:r>
    </w:p>
    <w:p w14:paraId="5F31774D" w14:textId="77777777" w:rsidR="00A22A0E" w:rsidRDefault="00A22A0E" w:rsidP="00E73DCD">
      <w:pPr>
        <w:pStyle w:val="Descripcin"/>
        <w:keepNext/>
      </w:pPr>
      <w:bookmarkStart w:id="10" w:name="_Ref124851526"/>
      <w:r>
        <w:br w:type="page"/>
      </w:r>
    </w:p>
    <w:p w14:paraId="276268F2" w14:textId="3AC25D64" w:rsidR="003942D8" w:rsidRPr="002424DE" w:rsidRDefault="003942D8" w:rsidP="00E73DCD">
      <w:pPr>
        <w:pStyle w:val="Descripcin"/>
        <w:keepNext/>
      </w:pPr>
      <w:r w:rsidRPr="002424DE">
        <w:lastRenderedPageBreak/>
        <w:t xml:space="preserve">Tabla </w:t>
      </w:r>
      <w:r w:rsidRPr="002424DE">
        <w:fldChar w:fldCharType="begin"/>
      </w:r>
      <w:r w:rsidRPr="002424DE">
        <w:instrText>SEQ Tabla \* ARABIC</w:instrText>
      </w:r>
      <w:r w:rsidRPr="002424DE">
        <w:fldChar w:fldCharType="separate"/>
      </w:r>
      <w:r w:rsidR="00BA37AC">
        <w:rPr>
          <w:noProof/>
        </w:rPr>
        <w:t>6</w:t>
      </w:r>
      <w:r w:rsidRPr="002424DE">
        <w:fldChar w:fldCharType="end"/>
      </w:r>
      <w:bookmarkEnd w:id="9"/>
      <w:bookmarkEnd w:id="10"/>
      <w:r w:rsidRPr="002424DE">
        <w:t>: Importancia relativa de los mayores aportantes del fondo</w:t>
      </w:r>
    </w:p>
    <w:tbl>
      <w:tblPr>
        <w:tblW w:w="7497" w:type="dxa"/>
        <w:jc w:val="center"/>
        <w:tblCellMar>
          <w:left w:w="0" w:type="dxa"/>
          <w:right w:w="0" w:type="dxa"/>
        </w:tblCellMar>
        <w:tblLook w:val="04A0" w:firstRow="1" w:lastRow="0" w:firstColumn="1" w:lastColumn="0" w:noHBand="0" w:noVBand="1"/>
      </w:tblPr>
      <w:tblGrid>
        <w:gridCol w:w="2112"/>
        <w:gridCol w:w="1077"/>
        <w:gridCol w:w="1077"/>
        <w:gridCol w:w="1077"/>
        <w:gridCol w:w="1077"/>
        <w:gridCol w:w="1077"/>
      </w:tblGrid>
      <w:tr w:rsidR="007A33DD" w:rsidRPr="00311D1A" w14:paraId="02E82518" w14:textId="327E038E" w:rsidTr="00AE2E3E">
        <w:trPr>
          <w:trHeight w:val="283"/>
          <w:jc w:val="center"/>
        </w:trPr>
        <w:tc>
          <w:tcPr>
            <w:tcW w:w="2112" w:type="dxa"/>
            <w:tcBorders>
              <w:top w:val="nil"/>
              <w:left w:val="single" w:sz="12" w:space="0" w:color="FFFFFF"/>
              <w:bottom w:val="single" w:sz="12" w:space="0" w:color="FFFFFF"/>
              <w:right w:val="single" w:sz="12" w:space="0" w:color="FFFFFF"/>
            </w:tcBorders>
            <w:shd w:val="clear" w:color="auto" w:fill="AE1619"/>
            <w:tcMar>
              <w:top w:w="15" w:type="dxa"/>
              <w:left w:w="70" w:type="dxa"/>
              <w:bottom w:w="0" w:type="dxa"/>
              <w:right w:w="70" w:type="dxa"/>
            </w:tcMar>
            <w:vAlign w:val="center"/>
            <w:hideMark/>
          </w:tcPr>
          <w:p w14:paraId="6F6906B3" w14:textId="77777777" w:rsidR="007A33DD" w:rsidRPr="00EE0F7B" w:rsidRDefault="007A33DD" w:rsidP="007D20FC">
            <w:pPr>
              <w:jc w:val="center"/>
              <w:rPr>
                <w:rFonts w:eastAsia="Times New Roman" w:cs="Arial"/>
                <w:color w:val="FFFFFF" w:themeColor="background1"/>
                <w:sz w:val="16"/>
                <w:szCs w:val="16"/>
                <w:lang w:eastAsia="es-CL"/>
              </w:rPr>
            </w:pPr>
            <w:r w:rsidRPr="00EE0F7B">
              <w:rPr>
                <w:rFonts w:eastAsia="Times New Roman" w:cs="Calibri"/>
                <w:b/>
                <w:bCs/>
                <w:color w:val="FFFFFF" w:themeColor="background1"/>
                <w:kern w:val="24"/>
                <w:sz w:val="16"/>
                <w:szCs w:val="16"/>
                <w:lang w:eastAsia="es-CL"/>
              </w:rPr>
              <w:t>Peso relativo aportante</w:t>
            </w:r>
          </w:p>
        </w:tc>
        <w:tc>
          <w:tcPr>
            <w:tcW w:w="1077" w:type="dxa"/>
            <w:tcBorders>
              <w:top w:val="nil"/>
              <w:left w:val="single" w:sz="12" w:space="0" w:color="FFFFFF"/>
              <w:bottom w:val="single" w:sz="12" w:space="0" w:color="FFFFFF"/>
              <w:right w:val="single" w:sz="12" w:space="0" w:color="FFFFFF"/>
            </w:tcBorders>
            <w:shd w:val="clear" w:color="auto" w:fill="AE1619"/>
            <w:tcMar>
              <w:top w:w="15" w:type="dxa"/>
              <w:left w:w="70" w:type="dxa"/>
              <w:bottom w:w="0" w:type="dxa"/>
              <w:right w:w="70" w:type="dxa"/>
            </w:tcMar>
            <w:vAlign w:val="center"/>
            <w:hideMark/>
          </w:tcPr>
          <w:p w14:paraId="2B32FF82" w14:textId="77777777" w:rsidR="007A33DD" w:rsidRPr="00D442BC" w:rsidRDefault="007A33DD" w:rsidP="007D20FC">
            <w:pPr>
              <w:jc w:val="center"/>
              <w:rPr>
                <w:rFonts w:eastAsia="Times New Roman" w:cs="Arial"/>
                <w:color w:val="FFFFFF" w:themeColor="background1"/>
                <w:sz w:val="16"/>
                <w:szCs w:val="16"/>
                <w:lang w:eastAsia="es-CL"/>
              </w:rPr>
            </w:pPr>
            <w:r w:rsidRPr="00D442BC">
              <w:rPr>
                <w:rFonts w:eastAsia="Times New Roman" w:cs="Calibri"/>
                <w:b/>
                <w:bCs/>
                <w:color w:val="FFFFFF" w:themeColor="background1"/>
                <w:kern w:val="24"/>
                <w:sz w:val="16"/>
                <w:szCs w:val="16"/>
                <w:lang w:eastAsia="es-CL"/>
              </w:rPr>
              <w:t>dic-18</w:t>
            </w:r>
          </w:p>
        </w:tc>
        <w:tc>
          <w:tcPr>
            <w:tcW w:w="1077" w:type="dxa"/>
            <w:tcBorders>
              <w:top w:val="nil"/>
              <w:left w:val="single" w:sz="12" w:space="0" w:color="FFFFFF"/>
              <w:bottom w:val="single" w:sz="12" w:space="0" w:color="FFFFFF"/>
              <w:right w:val="single" w:sz="12" w:space="0" w:color="FFFFFF"/>
            </w:tcBorders>
            <w:shd w:val="clear" w:color="auto" w:fill="AE1619"/>
            <w:tcMar>
              <w:top w:w="15" w:type="dxa"/>
              <w:left w:w="70" w:type="dxa"/>
              <w:bottom w:w="0" w:type="dxa"/>
              <w:right w:w="70" w:type="dxa"/>
            </w:tcMar>
            <w:vAlign w:val="center"/>
            <w:hideMark/>
          </w:tcPr>
          <w:p w14:paraId="5E80E914" w14:textId="77777777" w:rsidR="007A33DD" w:rsidRPr="00D442BC" w:rsidRDefault="007A33DD" w:rsidP="007D20FC">
            <w:pPr>
              <w:jc w:val="center"/>
              <w:rPr>
                <w:rFonts w:eastAsia="Times New Roman" w:cs="Arial"/>
                <w:color w:val="FFFFFF" w:themeColor="background1"/>
                <w:sz w:val="16"/>
                <w:szCs w:val="16"/>
                <w:lang w:eastAsia="es-CL"/>
              </w:rPr>
            </w:pPr>
            <w:r w:rsidRPr="00D442BC">
              <w:rPr>
                <w:rFonts w:eastAsia="Times New Roman" w:cs="Calibri"/>
                <w:b/>
                <w:bCs/>
                <w:color w:val="FFFFFF" w:themeColor="background1"/>
                <w:kern w:val="24"/>
                <w:sz w:val="16"/>
                <w:szCs w:val="16"/>
                <w:lang w:eastAsia="es-CL"/>
              </w:rPr>
              <w:t>dic-19</w:t>
            </w:r>
          </w:p>
        </w:tc>
        <w:tc>
          <w:tcPr>
            <w:tcW w:w="1077" w:type="dxa"/>
            <w:tcBorders>
              <w:top w:val="nil"/>
              <w:left w:val="single" w:sz="12" w:space="0" w:color="FFFFFF"/>
              <w:bottom w:val="single" w:sz="12" w:space="0" w:color="FFFFFF"/>
              <w:right w:val="single" w:sz="12" w:space="0" w:color="FFFFFF"/>
            </w:tcBorders>
            <w:shd w:val="clear" w:color="auto" w:fill="AE1619"/>
            <w:tcMar>
              <w:top w:w="15" w:type="dxa"/>
              <w:left w:w="70" w:type="dxa"/>
              <w:bottom w:w="0" w:type="dxa"/>
              <w:right w:w="70" w:type="dxa"/>
            </w:tcMar>
            <w:vAlign w:val="center"/>
            <w:hideMark/>
          </w:tcPr>
          <w:p w14:paraId="127A8FB7" w14:textId="6AAF4CD7" w:rsidR="007A33DD" w:rsidRPr="00D442BC" w:rsidRDefault="007A33DD" w:rsidP="007D20FC">
            <w:pPr>
              <w:jc w:val="center"/>
              <w:rPr>
                <w:rFonts w:eastAsia="Times New Roman" w:cs="Arial"/>
                <w:color w:val="FFFFFF" w:themeColor="background1"/>
                <w:sz w:val="16"/>
                <w:szCs w:val="16"/>
                <w:lang w:eastAsia="es-CL"/>
              </w:rPr>
            </w:pPr>
            <w:r w:rsidRPr="00D442BC">
              <w:rPr>
                <w:rFonts w:eastAsia="Times New Roman" w:cs="Calibri"/>
                <w:b/>
                <w:bCs/>
                <w:color w:val="FFFFFF" w:themeColor="background1"/>
                <w:kern w:val="24"/>
                <w:sz w:val="16"/>
                <w:szCs w:val="16"/>
                <w:lang w:eastAsia="es-CL"/>
              </w:rPr>
              <w:t>dic-20 </w:t>
            </w:r>
          </w:p>
        </w:tc>
        <w:tc>
          <w:tcPr>
            <w:tcW w:w="1077" w:type="dxa"/>
            <w:tcBorders>
              <w:top w:val="nil"/>
              <w:left w:val="single" w:sz="12" w:space="0" w:color="FFFFFF"/>
              <w:bottom w:val="single" w:sz="12" w:space="0" w:color="FFFFFF"/>
              <w:right w:val="single" w:sz="12" w:space="0" w:color="FFFFFF"/>
            </w:tcBorders>
            <w:shd w:val="clear" w:color="auto" w:fill="AE1619"/>
            <w:vAlign w:val="center"/>
          </w:tcPr>
          <w:p w14:paraId="3B1DA650" w14:textId="07E3568A" w:rsidR="007A33DD" w:rsidRPr="002E25ED" w:rsidRDefault="007A33DD" w:rsidP="007D20FC">
            <w:pPr>
              <w:jc w:val="center"/>
              <w:rPr>
                <w:rFonts w:eastAsia="Times New Roman" w:cs="Calibri"/>
                <w:b/>
                <w:bCs/>
                <w:color w:val="FFFFFF" w:themeColor="background1"/>
                <w:kern w:val="24"/>
                <w:sz w:val="16"/>
                <w:szCs w:val="16"/>
                <w:lang w:eastAsia="es-CL"/>
              </w:rPr>
            </w:pPr>
            <w:r>
              <w:rPr>
                <w:rFonts w:eastAsia="Times New Roman" w:cs="Calibri"/>
                <w:b/>
                <w:bCs/>
                <w:color w:val="FFFFFF" w:themeColor="background1"/>
                <w:kern w:val="24"/>
                <w:sz w:val="16"/>
                <w:szCs w:val="16"/>
                <w:lang w:eastAsia="es-CL"/>
              </w:rPr>
              <w:t>dic</w:t>
            </w:r>
            <w:r w:rsidRPr="002E25ED">
              <w:rPr>
                <w:rFonts w:eastAsia="Times New Roman" w:cs="Calibri"/>
                <w:b/>
                <w:bCs/>
                <w:color w:val="FFFFFF" w:themeColor="background1"/>
                <w:kern w:val="24"/>
                <w:sz w:val="16"/>
                <w:szCs w:val="16"/>
                <w:lang w:eastAsia="es-CL"/>
              </w:rPr>
              <w:t>-21</w:t>
            </w:r>
          </w:p>
        </w:tc>
        <w:tc>
          <w:tcPr>
            <w:tcW w:w="1077" w:type="dxa"/>
            <w:tcBorders>
              <w:top w:val="nil"/>
              <w:left w:val="single" w:sz="12" w:space="0" w:color="FFFFFF"/>
              <w:bottom w:val="single" w:sz="12" w:space="0" w:color="FFFFFF"/>
              <w:right w:val="single" w:sz="12" w:space="0" w:color="FFFFFF"/>
            </w:tcBorders>
            <w:shd w:val="clear" w:color="auto" w:fill="AE1619"/>
            <w:vAlign w:val="center"/>
          </w:tcPr>
          <w:p w14:paraId="275B2BB0" w14:textId="666328D0" w:rsidR="007A33DD" w:rsidRDefault="007A33DD" w:rsidP="007A33DD">
            <w:pPr>
              <w:jc w:val="center"/>
              <w:rPr>
                <w:rFonts w:eastAsia="Times New Roman" w:cs="Calibri"/>
                <w:b/>
                <w:bCs/>
                <w:color w:val="FFFFFF" w:themeColor="background1"/>
                <w:kern w:val="24"/>
                <w:sz w:val="16"/>
                <w:szCs w:val="16"/>
                <w:lang w:eastAsia="es-CL"/>
              </w:rPr>
            </w:pPr>
            <w:r>
              <w:rPr>
                <w:rFonts w:eastAsia="Times New Roman" w:cs="Calibri"/>
                <w:b/>
                <w:bCs/>
                <w:color w:val="FFFFFF" w:themeColor="background1"/>
                <w:kern w:val="24"/>
                <w:sz w:val="16"/>
                <w:szCs w:val="16"/>
                <w:lang w:eastAsia="es-CL"/>
              </w:rPr>
              <w:t>nov-22</w:t>
            </w:r>
          </w:p>
        </w:tc>
      </w:tr>
      <w:tr w:rsidR="00AE2E3E" w:rsidRPr="00311D1A" w14:paraId="42C3A99D" w14:textId="4C343B55"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1EE3B362"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1°</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206569C8" w14:textId="5CD3F8C3"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7,90%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6D97EA75" w14:textId="287D5E66"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8,0</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780A6B4F" w14:textId="5D7F05BD"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6,4</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5DD8A780" w14:textId="16800C75"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3,51%</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0AD515D5" w14:textId="0303FE00"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4,78%</w:t>
            </w:r>
          </w:p>
        </w:tc>
      </w:tr>
      <w:tr w:rsidR="00AE2E3E" w:rsidRPr="00311D1A" w14:paraId="5540FA92" w14:textId="148D73CB"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674EC5DF"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2°</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5409F40C" w14:textId="7149F852"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2,80%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1CE449C0" w14:textId="760C2577"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5,8</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7CEE18F9" w14:textId="6D0C19E5"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2,2</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106BD582" w14:textId="1AB3FA15"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2,09%</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119FE241" w14:textId="4B33EADD"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2,85%</w:t>
            </w:r>
          </w:p>
        </w:tc>
      </w:tr>
      <w:tr w:rsidR="00AE2E3E" w:rsidRPr="00311D1A" w14:paraId="3452CA6C" w14:textId="5857A7F7"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38D9A575"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3°</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10AD3AFF" w14:textId="324194BC"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2,10%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60BCF2AB" w14:textId="4B062A69"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2,0</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4BB68680" w14:textId="044A5829"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1,9</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5F23F990" w14:textId="263D843E"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2,08%</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35D39BAD" w14:textId="21C60837"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2,77%</w:t>
            </w:r>
          </w:p>
        </w:tc>
      </w:tr>
      <w:tr w:rsidR="00AE2E3E" w:rsidRPr="00311D1A" w14:paraId="5D06B279" w14:textId="575ADA28"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672C569E"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4°</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2B03CCE2" w14:textId="754E921C"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1,80%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4BD7B9A4" w14:textId="4695D270"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1,9</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2DF9A39E" w14:textId="3324DB03"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1,8</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28DAAA2F" w14:textId="24FCDEF7"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1,42%</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537012FC" w14:textId="4535EDFD"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1,93%</w:t>
            </w:r>
          </w:p>
        </w:tc>
      </w:tr>
      <w:tr w:rsidR="00AE2E3E" w:rsidRPr="00311D1A" w14:paraId="540DD72A" w14:textId="7B0CAEC5"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64F9B022"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5°</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59E702EF" w14:textId="447C6C91"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1,50%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0E686AF6" w14:textId="7CB6F9C9"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1,6</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56DC1491" w14:textId="1F510240"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1,8</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18A1CEE4" w14:textId="3A8D829D"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1,40%</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3099BEB1" w14:textId="40F7CBBE"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1,78%</w:t>
            </w:r>
          </w:p>
        </w:tc>
      </w:tr>
      <w:tr w:rsidR="00AE2E3E" w:rsidRPr="00311D1A" w14:paraId="6FBB62A1" w14:textId="406BDA23"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320453F4"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6°</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6B158E7B" w14:textId="2E75B9CB"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1,50%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3507F288" w14:textId="129991D4"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1,5</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0CF009FA" w14:textId="01D01BA8"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1,4</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4E8647F2" w14:textId="4F30043C"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1,30%</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049C4D55" w14:textId="7D5000C7"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1,54%</w:t>
            </w:r>
          </w:p>
        </w:tc>
      </w:tr>
      <w:tr w:rsidR="00AE2E3E" w:rsidRPr="00311D1A" w14:paraId="20826BAD" w14:textId="1C8B3807" w:rsidTr="00AE2E3E">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02C3BE24"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7°</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2A62241A" w14:textId="5F1DD77F"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1,40%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120FB5B1" w14:textId="287C2498"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1,1</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7FBA1346" w14:textId="27C1BDAC"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1,4</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031E426A" w14:textId="4BC7FC56"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1,30%</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23F12F06" w14:textId="013ABA73"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1,51%</w:t>
            </w:r>
          </w:p>
        </w:tc>
      </w:tr>
      <w:tr w:rsidR="00AE2E3E" w:rsidRPr="00311D1A" w14:paraId="5C437F8E" w14:textId="6149C9F2" w:rsidTr="00AE3255">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4669A071"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8°</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5D3CEBA9" w14:textId="3A1DF4A6"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1,20%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05299FB8" w14:textId="452AA4A1"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1,</w:t>
            </w:r>
            <w:r>
              <w:rPr>
                <w:rFonts w:eastAsia="Times New Roman" w:cs="Arial"/>
                <w:color w:val="333D6B"/>
                <w:sz w:val="16"/>
                <w:szCs w:val="16"/>
                <w:lang w:eastAsia="es-CL"/>
              </w:rPr>
              <w:t>10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28E109D9" w14:textId="4E962775"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1,4</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vAlign w:val="center"/>
          </w:tcPr>
          <w:p w14:paraId="4D5E6E62" w14:textId="6CCDDE9A"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1,26%</w:t>
            </w:r>
          </w:p>
        </w:tc>
        <w:tc>
          <w:tcPr>
            <w:tcW w:w="1077" w:type="dxa"/>
            <w:tcBorders>
              <w:top w:val="single" w:sz="12" w:space="0" w:color="FFFFFF"/>
              <w:left w:val="single" w:sz="12" w:space="0" w:color="FFFFFF"/>
              <w:right w:val="single" w:sz="12" w:space="0" w:color="FFFFFF"/>
            </w:tcBorders>
            <w:vAlign w:val="center"/>
          </w:tcPr>
          <w:p w14:paraId="66D5340F" w14:textId="450F6D79"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1,51%</w:t>
            </w:r>
          </w:p>
        </w:tc>
      </w:tr>
      <w:tr w:rsidR="00AE2E3E" w:rsidRPr="00311D1A" w14:paraId="0E8AD257" w14:textId="066D1036" w:rsidTr="00AE3255">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24814D7E"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9°</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0F86ABA0" w14:textId="63A7D038"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1,10%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3C72CC3A" w14:textId="0FFA8424"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1,1</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1B11A244" w14:textId="71749848"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1,2</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tcBorders>
            <w:vAlign w:val="center"/>
          </w:tcPr>
          <w:p w14:paraId="6AF07A47" w14:textId="5B453CDD"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1,14%</w:t>
            </w:r>
          </w:p>
        </w:tc>
        <w:tc>
          <w:tcPr>
            <w:tcW w:w="1077" w:type="dxa"/>
            <w:vAlign w:val="center"/>
          </w:tcPr>
          <w:p w14:paraId="2113AB81" w14:textId="7BE78E6D"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1,44%</w:t>
            </w:r>
          </w:p>
        </w:tc>
      </w:tr>
      <w:tr w:rsidR="00AE2E3E" w:rsidRPr="00311D1A" w14:paraId="18BCEF35" w14:textId="13CA9F7A" w:rsidTr="00AE3255">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7EB3F997"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color w:val="333D6B"/>
                <w:kern w:val="24"/>
                <w:sz w:val="16"/>
                <w:szCs w:val="16"/>
                <w:lang w:eastAsia="es-CL"/>
              </w:rPr>
              <w:t>10°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597B1994" w14:textId="094D4537" w:rsidR="00AE2E3E" w:rsidRPr="00182858" w:rsidRDefault="00AE2E3E" w:rsidP="00AE2E3E">
            <w:pPr>
              <w:jc w:val="center"/>
              <w:rPr>
                <w:rFonts w:eastAsia="Times New Roman" w:cs="Arial"/>
                <w:color w:val="333D6B"/>
                <w:sz w:val="16"/>
                <w:szCs w:val="16"/>
                <w:lang w:eastAsia="es-CL"/>
              </w:rPr>
            </w:pPr>
            <w:r w:rsidRPr="00182858">
              <w:rPr>
                <w:rFonts w:eastAsia="Times New Roman" w:cs="Arial"/>
                <w:color w:val="333D6B"/>
                <w:sz w:val="16"/>
                <w:szCs w:val="16"/>
                <w:lang w:eastAsia="es-CL"/>
              </w:rPr>
              <w:t>1,00%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62912931" w14:textId="18AC0FC7" w:rsidR="00AE2E3E" w:rsidRPr="00FA5F76" w:rsidRDefault="00AE2E3E" w:rsidP="00AE2E3E">
            <w:pPr>
              <w:jc w:val="center"/>
              <w:rPr>
                <w:rFonts w:eastAsia="Times New Roman" w:cs="Arial"/>
                <w:color w:val="333D6B"/>
                <w:sz w:val="16"/>
                <w:szCs w:val="16"/>
                <w:lang w:eastAsia="es-CL"/>
              </w:rPr>
            </w:pPr>
            <w:r w:rsidRPr="00FA5F76">
              <w:rPr>
                <w:rFonts w:eastAsia="Times New Roman" w:cs="Arial"/>
                <w:color w:val="333D6B"/>
                <w:sz w:val="16"/>
                <w:szCs w:val="16"/>
                <w:lang w:eastAsia="es-CL"/>
              </w:rPr>
              <w:t>0,9</w:t>
            </w:r>
            <w:r>
              <w:rPr>
                <w:rFonts w:eastAsia="Times New Roman" w:cs="Arial"/>
                <w:color w:val="333D6B"/>
                <w:sz w:val="16"/>
                <w:szCs w:val="16"/>
                <w:lang w:eastAsia="es-CL"/>
              </w:rPr>
              <w:t>0</w:t>
            </w:r>
            <w:r w:rsidRPr="00FA5F76">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tcPr>
          <w:p w14:paraId="75E62240" w14:textId="2102E7C3" w:rsidR="00AE2E3E" w:rsidRPr="002424DE" w:rsidRDefault="00AE2E3E" w:rsidP="00AE2E3E">
            <w:pPr>
              <w:jc w:val="center"/>
              <w:rPr>
                <w:rFonts w:eastAsia="Times New Roman" w:cs="Arial"/>
                <w:color w:val="333D6B"/>
                <w:sz w:val="16"/>
                <w:szCs w:val="16"/>
                <w:lang w:eastAsia="es-CL"/>
              </w:rPr>
            </w:pPr>
            <w:r w:rsidRPr="009E7370">
              <w:rPr>
                <w:rFonts w:eastAsia="Times New Roman" w:cs="Arial"/>
                <w:color w:val="333D6B"/>
                <w:sz w:val="16"/>
                <w:szCs w:val="16"/>
                <w:lang w:eastAsia="es-CL"/>
              </w:rPr>
              <w:t>1,1</w:t>
            </w:r>
            <w:r>
              <w:rPr>
                <w:rFonts w:eastAsia="Times New Roman" w:cs="Arial"/>
                <w:color w:val="333D6B"/>
                <w:sz w:val="16"/>
                <w:szCs w:val="16"/>
                <w:lang w:eastAsia="es-CL"/>
              </w:rPr>
              <w:t>0</w:t>
            </w:r>
            <w:r w:rsidRPr="009E7370">
              <w:rPr>
                <w:rFonts w:eastAsia="Times New Roman" w:cs="Arial"/>
                <w:color w:val="333D6B"/>
                <w:sz w:val="16"/>
                <w:szCs w:val="16"/>
                <w:lang w:eastAsia="es-CL"/>
              </w:rPr>
              <w:t>%</w:t>
            </w:r>
          </w:p>
        </w:tc>
        <w:tc>
          <w:tcPr>
            <w:tcW w:w="1077" w:type="dxa"/>
            <w:tcBorders>
              <w:top w:val="single" w:sz="12" w:space="0" w:color="FFFFFF"/>
              <w:left w:val="single" w:sz="12" w:space="0" w:color="FFFFFF"/>
              <w:bottom w:val="single" w:sz="12" w:space="0" w:color="FFFFFF"/>
            </w:tcBorders>
            <w:vAlign w:val="center"/>
          </w:tcPr>
          <w:p w14:paraId="2FF3932D" w14:textId="5CFCBA97" w:rsidR="00AE2E3E" w:rsidRPr="009E7370" w:rsidRDefault="00AE2E3E" w:rsidP="00AE2E3E">
            <w:pPr>
              <w:jc w:val="center"/>
              <w:rPr>
                <w:rFonts w:eastAsia="Times New Roman" w:cs="Arial"/>
                <w:color w:val="333D6B"/>
                <w:sz w:val="16"/>
                <w:szCs w:val="16"/>
                <w:lang w:eastAsia="es-CL"/>
              </w:rPr>
            </w:pPr>
            <w:r w:rsidRPr="00AE2E3E">
              <w:rPr>
                <w:rFonts w:eastAsia="Times New Roman" w:cs="Arial"/>
                <w:color w:val="333D6B"/>
                <w:sz w:val="16"/>
                <w:szCs w:val="16"/>
                <w:lang w:eastAsia="es-CL"/>
              </w:rPr>
              <w:t>1,13%</w:t>
            </w:r>
          </w:p>
        </w:tc>
        <w:tc>
          <w:tcPr>
            <w:tcW w:w="1077" w:type="dxa"/>
            <w:vAlign w:val="center"/>
          </w:tcPr>
          <w:p w14:paraId="5F54D31A" w14:textId="7D4FDE3C" w:rsidR="00AE2E3E" w:rsidRPr="009E7370" w:rsidRDefault="00AE2E3E" w:rsidP="00AE2E3E">
            <w:pPr>
              <w:jc w:val="center"/>
              <w:rPr>
                <w:rFonts w:eastAsia="Times New Roman" w:cs="Arial"/>
                <w:color w:val="333D6B"/>
                <w:sz w:val="16"/>
                <w:szCs w:val="16"/>
                <w:lang w:eastAsia="es-CL"/>
              </w:rPr>
            </w:pPr>
            <w:r w:rsidRPr="00C561F6">
              <w:rPr>
                <w:rFonts w:eastAsia="Times New Roman" w:cs="Arial"/>
                <w:color w:val="333D6B"/>
                <w:sz w:val="16"/>
                <w:szCs w:val="16"/>
                <w:lang w:eastAsia="es-CL"/>
              </w:rPr>
              <w:t>1,42%</w:t>
            </w:r>
          </w:p>
        </w:tc>
      </w:tr>
      <w:tr w:rsidR="00AE2E3E" w:rsidRPr="00311D1A" w14:paraId="2115ADB9" w14:textId="37D13C89" w:rsidTr="00AE3255">
        <w:trPr>
          <w:trHeight w:val="283"/>
          <w:jc w:val="center"/>
        </w:trPr>
        <w:tc>
          <w:tcPr>
            <w:tcW w:w="2112"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233184C5" w14:textId="77777777" w:rsidR="00AE2E3E" w:rsidRPr="00EE0F7B" w:rsidRDefault="00AE2E3E" w:rsidP="00AE2E3E">
            <w:pPr>
              <w:jc w:val="center"/>
              <w:rPr>
                <w:rFonts w:eastAsia="Times New Roman" w:cs="Arial"/>
                <w:color w:val="333D6B"/>
                <w:sz w:val="16"/>
                <w:szCs w:val="16"/>
                <w:lang w:eastAsia="es-CL"/>
              </w:rPr>
            </w:pPr>
            <w:r w:rsidRPr="00EE0F7B">
              <w:rPr>
                <w:rFonts w:eastAsia="Times New Roman" w:cs="Calibri"/>
                <w:b/>
                <w:bCs/>
                <w:color w:val="333D6B"/>
                <w:kern w:val="24"/>
                <w:sz w:val="16"/>
                <w:szCs w:val="16"/>
                <w:lang w:eastAsia="es-CL"/>
              </w:rPr>
              <w:t>Total</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3DBF3C1A" w14:textId="05F54FA5" w:rsidR="00AE2E3E" w:rsidRPr="00D442BC" w:rsidRDefault="00AE2E3E" w:rsidP="00AE2E3E">
            <w:pPr>
              <w:jc w:val="center"/>
              <w:rPr>
                <w:rFonts w:eastAsia="Times New Roman" w:cs="Arial"/>
                <w:color w:val="333D6B"/>
                <w:sz w:val="16"/>
                <w:szCs w:val="16"/>
                <w:lang w:eastAsia="es-CL"/>
              </w:rPr>
            </w:pPr>
            <w:r w:rsidRPr="00D442BC">
              <w:rPr>
                <w:rFonts w:eastAsia="Times New Roman" w:cs="Calibri"/>
                <w:b/>
                <w:bCs/>
                <w:color w:val="333D6B"/>
                <w:kern w:val="24"/>
                <w:sz w:val="16"/>
                <w:szCs w:val="16"/>
                <w:lang w:eastAsia="es-CL"/>
              </w:rPr>
              <w:t>22,30%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6C7196AC" w14:textId="7729C861" w:rsidR="00AE2E3E" w:rsidRPr="00D442BC" w:rsidRDefault="00AE2E3E" w:rsidP="00AE2E3E">
            <w:pPr>
              <w:jc w:val="center"/>
              <w:rPr>
                <w:rFonts w:eastAsia="Times New Roman" w:cs="Arial"/>
                <w:color w:val="333D6B"/>
                <w:sz w:val="16"/>
                <w:szCs w:val="16"/>
                <w:lang w:eastAsia="es-CL"/>
              </w:rPr>
            </w:pPr>
            <w:r w:rsidRPr="00D442BC">
              <w:rPr>
                <w:rFonts w:eastAsia="Times New Roman" w:cs="Calibri"/>
                <w:b/>
                <w:bCs/>
                <w:color w:val="333D6B"/>
                <w:kern w:val="24"/>
                <w:sz w:val="16"/>
                <w:szCs w:val="16"/>
                <w:lang w:eastAsia="es-CL"/>
              </w:rPr>
              <w:t>25,00%</w:t>
            </w:r>
          </w:p>
        </w:tc>
        <w:tc>
          <w:tcPr>
            <w:tcW w:w="1077" w:type="dxa"/>
            <w:tcBorders>
              <w:top w:val="single" w:sz="12" w:space="0" w:color="FFFFFF"/>
              <w:left w:val="single" w:sz="12" w:space="0" w:color="FFFFFF"/>
              <w:bottom w:val="single" w:sz="12" w:space="0" w:color="FFFFFF"/>
              <w:right w:val="single" w:sz="12" w:space="0" w:color="FFFFFF"/>
            </w:tcBorders>
            <w:shd w:val="clear" w:color="auto" w:fill="auto"/>
            <w:tcMar>
              <w:top w:w="15" w:type="dxa"/>
              <w:left w:w="70" w:type="dxa"/>
              <w:bottom w:w="0" w:type="dxa"/>
              <w:right w:w="70" w:type="dxa"/>
            </w:tcMar>
            <w:vAlign w:val="center"/>
            <w:hideMark/>
          </w:tcPr>
          <w:p w14:paraId="5CAE2D88" w14:textId="1A0711A3" w:rsidR="00AE2E3E" w:rsidRPr="00D442BC" w:rsidRDefault="00AE2E3E" w:rsidP="00AE2E3E">
            <w:pPr>
              <w:jc w:val="center"/>
              <w:rPr>
                <w:rFonts w:eastAsia="Times New Roman" w:cs="Arial"/>
                <w:color w:val="333D6B"/>
                <w:sz w:val="16"/>
                <w:szCs w:val="16"/>
                <w:lang w:eastAsia="es-CL"/>
              </w:rPr>
            </w:pPr>
            <w:r w:rsidRPr="00D442BC">
              <w:rPr>
                <w:rFonts w:eastAsia="Times New Roman" w:cs="Calibri"/>
                <w:b/>
                <w:bCs/>
                <w:color w:val="333D6B"/>
                <w:kern w:val="24"/>
                <w:sz w:val="16"/>
                <w:szCs w:val="16"/>
                <w:lang w:eastAsia="es-CL"/>
              </w:rPr>
              <w:t> 20,50%</w:t>
            </w:r>
          </w:p>
        </w:tc>
        <w:tc>
          <w:tcPr>
            <w:tcW w:w="1077" w:type="dxa"/>
            <w:tcBorders>
              <w:top w:val="single" w:sz="12" w:space="0" w:color="FFFFFF"/>
              <w:left w:val="single" w:sz="12" w:space="0" w:color="FFFFFF"/>
              <w:bottom w:val="single" w:sz="12" w:space="0" w:color="FFFFFF"/>
            </w:tcBorders>
            <w:vAlign w:val="center"/>
          </w:tcPr>
          <w:p w14:paraId="6691778E" w14:textId="1C0E95FF" w:rsidR="00AE2E3E" w:rsidRPr="00D442BC" w:rsidRDefault="00AE2E3E" w:rsidP="00AE2E3E">
            <w:pPr>
              <w:jc w:val="center"/>
              <w:rPr>
                <w:rFonts w:eastAsia="Times New Roman" w:cs="Calibri"/>
                <w:b/>
                <w:bCs/>
                <w:color w:val="333D6B"/>
                <w:kern w:val="24"/>
                <w:sz w:val="16"/>
                <w:szCs w:val="16"/>
                <w:lang w:eastAsia="es-CL"/>
              </w:rPr>
            </w:pPr>
            <w:r w:rsidRPr="00AE2E3E">
              <w:rPr>
                <w:rFonts w:eastAsia="Times New Roman" w:cs="Calibri"/>
                <w:b/>
                <w:bCs/>
                <w:color w:val="333D6B"/>
                <w:kern w:val="24"/>
                <w:sz w:val="16"/>
                <w:szCs w:val="16"/>
                <w:lang w:eastAsia="es-CL"/>
              </w:rPr>
              <w:t>16,63%</w:t>
            </w:r>
          </w:p>
        </w:tc>
        <w:tc>
          <w:tcPr>
            <w:tcW w:w="1077" w:type="dxa"/>
            <w:vAlign w:val="center"/>
          </w:tcPr>
          <w:p w14:paraId="710C243D" w14:textId="55CAE5D5" w:rsidR="00AE2E3E" w:rsidRPr="00D442BC" w:rsidRDefault="00AE2E3E" w:rsidP="00AE2E3E">
            <w:pPr>
              <w:jc w:val="center"/>
              <w:rPr>
                <w:rFonts w:eastAsia="Times New Roman" w:cs="Calibri"/>
                <w:b/>
                <w:bCs/>
                <w:color w:val="333D6B"/>
                <w:kern w:val="24"/>
                <w:sz w:val="16"/>
                <w:szCs w:val="16"/>
                <w:lang w:eastAsia="es-CL"/>
              </w:rPr>
            </w:pPr>
            <w:r>
              <w:rPr>
                <w:rFonts w:eastAsia="Times New Roman" w:cs="Calibri"/>
                <w:b/>
                <w:bCs/>
                <w:color w:val="333D6B"/>
                <w:kern w:val="24"/>
                <w:sz w:val="16"/>
                <w:szCs w:val="16"/>
                <w:lang w:eastAsia="es-CL"/>
              </w:rPr>
              <w:t>21,53%</w:t>
            </w:r>
          </w:p>
        </w:tc>
      </w:tr>
    </w:tbl>
    <w:p w14:paraId="39A7A3C3" w14:textId="77777777" w:rsidR="00B9372D" w:rsidRDefault="00B9372D" w:rsidP="00B9372D">
      <w:pPr>
        <w:spacing w:after="120"/>
        <w:jc w:val="both"/>
        <w:rPr>
          <w:bCs/>
          <w:lang w:val="es-ES"/>
        </w:rPr>
      </w:pPr>
    </w:p>
    <w:p w14:paraId="4D6CD81A" w14:textId="5D0D0AF9" w:rsidR="00B9372D" w:rsidRPr="002424DE" w:rsidRDefault="00B9372D" w:rsidP="00B9372D">
      <w:pPr>
        <w:spacing w:after="120"/>
        <w:jc w:val="both"/>
        <w:rPr>
          <w:bCs/>
          <w:lang w:val="es-ES"/>
        </w:rPr>
      </w:pPr>
      <w:r>
        <w:rPr>
          <w:bCs/>
          <w:lang w:val="es-ES"/>
        </w:rPr>
        <w:t>Los</w:t>
      </w:r>
      <w:r w:rsidRPr="003A0272">
        <w:rPr>
          <w:bCs/>
          <w:lang w:val="es-ES"/>
        </w:rPr>
        <w:t xml:space="preserve"> rescates son pagados mediante transferencia bancaria (</w:t>
      </w:r>
      <w:r>
        <w:rPr>
          <w:bCs/>
          <w:lang w:val="es-ES"/>
        </w:rPr>
        <w:t>d</w:t>
      </w:r>
      <w:r w:rsidRPr="003A0272">
        <w:rPr>
          <w:bCs/>
          <w:lang w:val="es-ES"/>
        </w:rPr>
        <w:t>ólar de los Estados Unidos). El fondo contempla excepciones para rescates de montos significativos, por lo que se pagan dentro de 15 días hábiles bancarios, contado desde la fecha de presentación de la solicitud de rescate o la fecha en que se dé curso a este en caso de ser programado</w:t>
      </w:r>
      <w:r w:rsidR="00160FFE">
        <w:rPr>
          <w:bCs/>
          <w:lang w:val="es-ES"/>
        </w:rPr>
        <w:t>.</w:t>
      </w:r>
    </w:p>
    <w:p w14:paraId="63AB2B38" w14:textId="28E858CC" w:rsidR="00B9372D" w:rsidRPr="00160FFE" w:rsidRDefault="00BA37AC" w:rsidP="00160FFE">
      <w:pPr>
        <w:pStyle w:val="Descripcin"/>
        <w:keepNext/>
        <w:spacing w:after="120"/>
        <w:jc w:val="both"/>
        <w:rPr>
          <w:bCs/>
          <w:i w:val="0"/>
          <w:iCs w:val="0"/>
          <w:sz w:val="21"/>
          <w:szCs w:val="24"/>
          <w:lang w:val="es-ES"/>
        </w:rPr>
      </w:pPr>
      <w:r>
        <w:rPr>
          <w:bCs/>
          <w:i w:val="0"/>
          <w:iCs w:val="0"/>
          <w:sz w:val="21"/>
          <w:szCs w:val="24"/>
          <w:lang w:val="es-ES"/>
        </w:rPr>
        <w:t xml:space="preserve">En la Tabla 6 </w:t>
      </w:r>
      <w:r w:rsidR="00B9372D" w:rsidRPr="00160FFE">
        <w:rPr>
          <w:bCs/>
          <w:i w:val="0"/>
          <w:iCs w:val="0"/>
          <w:sz w:val="21"/>
          <w:szCs w:val="24"/>
          <w:lang w:val="es-ES"/>
        </w:rPr>
        <w:t>se puede observar el peso relativo de los principales aportantes del fondo, los cuales, en forma individual, tienen una baja incidencia en cuanto a la presión de liquidez del fondo, dado que la capacidad de retiro de cada uno es limitada, lo que acota este riesgo por partícipe. Al cierre de diciembre de 2021, los diez principales aportantes representaron un 16,63%, mientras que al cierre de noviembre 2022 representaron un 21,53%.</w:t>
      </w:r>
    </w:p>
    <w:p w14:paraId="3CECC3B2" w14:textId="77777777" w:rsidR="00EE1AD9" w:rsidRDefault="00EE1AD9" w:rsidP="00160FFE">
      <w:pPr>
        <w:spacing w:after="120"/>
        <w:jc w:val="both"/>
        <w:rPr>
          <w:bCs/>
          <w:lang w:val="es-ES"/>
        </w:rPr>
      </w:pPr>
    </w:p>
    <w:p w14:paraId="5C2F6A37" w14:textId="4A9F1B11" w:rsidR="00340D36" w:rsidRPr="006D7A38" w:rsidRDefault="00340D36" w:rsidP="00340D36">
      <w:pPr>
        <w:pStyle w:val="Ttulo"/>
      </w:pPr>
      <w:r w:rsidRPr="006D7A38">
        <w:t>Valorización de las inversiones</w:t>
      </w:r>
    </w:p>
    <w:p w14:paraId="4AD9732F" w14:textId="214DE4A0" w:rsidR="00073195" w:rsidRPr="00BC514C" w:rsidRDefault="00EE7536" w:rsidP="00073195">
      <w:pPr>
        <w:spacing w:after="120"/>
        <w:jc w:val="both"/>
      </w:pPr>
      <w:r w:rsidRPr="006D7A38">
        <w:t xml:space="preserve">El </w:t>
      </w:r>
      <w:r w:rsidR="00073195" w:rsidRPr="006D7A38">
        <w:t xml:space="preserve">reglamento interno </w:t>
      </w:r>
      <w:r w:rsidRPr="006D7A38">
        <w:t xml:space="preserve">de </w:t>
      </w:r>
      <w:r w:rsidRPr="006D7A38">
        <w:rPr>
          <w:b/>
          <w:bCs/>
        </w:rPr>
        <w:t xml:space="preserve">FM </w:t>
      </w:r>
      <w:proofErr w:type="spellStart"/>
      <w:r w:rsidR="006D7A38" w:rsidRPr="006D7A38">
        <w:rPr>
          <w:b/>
          <w:bCs/>
        </w:rPr>
        <w:t>Latam</w:t>
      </w:r>
      <w:proofErr w:type="spellEnd"/>
      <w:r w:rsidR="006D7A38" w:rsidRPr="006D7A38">
        <w:rPr>
          <w:b/>
          <w:bCs/>
        </w:rPr>
        <w:t xml:space="preserve"> </w:t>
      </w:r>
      <w:proofErr w:type="spellStart"/>
      <w:r w:rsidR="006D7A38" w:rsidRPr="006D7A38">
        <w:rPr>
          <w:b/>
          <w:bCs/>
        </w:rPr>
        <w:t>Corporate</w:t>
      </w:r>
      <w:proofErr w:type="spellEnd"/>
      <w:r w:rsidRPr="006D7A38">
        <w:rPr>
          <w:b/>
          <w:bCs/>
        </w:rPr>
        <w:t xml:space="preserve"> </w:t>
      </w:r>
      <w:r w:rsidR="00073195" w:rsidRPr="006D7A38">
        <w:t xml:space="preserve">expresa que las cuotas del fondo se valoran diariamente y según </w:t>
      </w:r>
      <w:r w:rsidR="00073195" w:rsidRPr="00BC514C">
        <w:t>la legislación vigente.</w:t>
      </w:r>
    </w:p>
    <w:p w14:paraId="3981FF61" w14:textId="77777777" w:rsidR="00A20C55" w:rsidRPr="00D51FEC" w:rsidRDefault="00A20C55" w:rsidP="00A20C55">
      <w:pPr>
        <w:spacing w:after="120"/>
        <w:jc w:val="both"/>
        <w:rPr>
          <w:bCs/>
          <w:lang w:val="es-ES"/>
        </w:rPr>
      </w:pPr>
      <w:r w:rsidRPr="00D51FEC">
        <w:rPr>
          <w:bCs/>
          <w:lang w:val="es-ES"/>
        </w:rPr>
        <w:t xml:space="preserve">De acuerdo a las disposiciones contenidas en la Circular </w:t>
      </w:r>
      <w:proofErr w:type="spellStart"/>
      <w:r w:rsidRPr="00D51FEC">
        <w:rPr>
          <w:bCs/>
          <w:lang w:val="es-ES"/>
        </w:rPr>
        <w:t>N°</w:t>
      </w:r>
      <w:proofErr w:type="spellEnd"/>
      <w:r>
        <w:rPr>
          <w:bCs/>
          <w:lang w:val="es-ES"/>
        </w:rPr>
        <w:t xml:space="preserve"> </w:t>
      </w:r>
      <w:r w:rsidRPr="00D51FEC">
        <w:rPr>
          <w:bCs/>
          <w:lang w:val="es-ES"/>
        </w:rPr>
        <w:t xml:space="preserve">1997, toda la información de los estados financieros de los fondos mutuos debe hacerse en base a las normas internacionales de contabilidad (NIC, IAS según sus siglas en inglés) y Normas Internacionales de Información Financiera (NIIF, IFRS en sus siglas en inglés) y sus correspondientes interpretaciones, en adelante IFRS, emitidas por el </w:t>
      </w:r>
      <w:r w:rsidRPr="00EB04E6">
        <w:rPr>
          <w:bCs/>
          <w:i/>
          <w:iCs/>
          <w:lang w:val="es-ES"/>
        </w:rPr>
        <w:t xml:space="preserve">International </w:t>
      </w:r>
      <w:proofErr w:type="spellStart"/>
      <w:r w:rsidRPr="00EB04E6">
        <w:rPr>
          <w:bCs/>
          <w:i/>
          <w:iCs/>
          <w:lang w:val="es-ES"/>
        </w:rPr>
        <w:t>Accounting</w:t>
      </w:r>
      <w:proofErr w:type="spellEnd"/>
      <w:r w:rsidRPr="00EB04E6">
        <w:rPr>
          <w:bCs/>
          <w:i/>
          <w:iCs/>
          <w:lang w:val="es-ES"/>
        </w:rPr>
        <w:t xml:space="preserve"> </w:t>
      </w:r>
      <w:proofErr w:type="spellStart"/>
      <w:r w:rsidRPr="00EB04E6">
        <w:rPr>
          <w:bCs/>
          <w:i/>
          <w:iCs/>
          <w:lang w:val="es-ES"/>
        </w:rPr>
        <w:t>Standards</w:t>
      </w:r>
      <w:proofErr w:type="spellEnd"/>
      <w:r w:rsidRPr="00EB04E6">
        <w:rPr>
          <w:bCs/>
          <w:i/>
          <w:iCs/>
          <w:lang w:val="es-ES"/>
        </w:rPr>
        <w:t xml:space="preserve"> </w:t>
      </w:r>
      <w:proofErr w:type="spellStart"/>
      <w:r w:rsidRPr="00EB04E6">
        <w:rPr>
          <w:bCs/>
          <w:i/>
          <w:iCs/>
          <w:lang w:val="es-ES"/>
        </w:rPr>
        <w:t>Board</w:t>
      </w:r>
      <w:proofErr w:type="spellEnd"/>
      <w:r w:rsidRPr="00D51FEC">
        <w:rPr>
          <w:bCs/>
          <w:lang w:val="es-ES"/>
        </w:rPr>
        <w:t xml:space="preserve"> (IASB), lo que implica que toda valorización de los activos presentes en las carteras de los fondos mutuos debe seguir los criterios e interpretaciones de IFRS, además de las normas y circulares vigentes emitidas por la CMF.</w:t>
      </w:r>
    </w:p>
    <w:p w14:paraId="4B2F0554" w14:textId="77777777" w:rsidR="00A20C55" w:rsidRPr="00D51FEC" w:rsidRDefault="00A20C55" w:rsidP="00A20C55">
      <w:pPr>
        <w:spacing w:after="120"/>
        <w:jc w:val="both"/>
        <w:rPr>
          <w:bCs/>
          <w:lang w:val="es-ES"/>
        </w:rPr>
      </w:pPr>
      <w:r w:rsidRPr="00D51FEC">
        <w:rPr>
          <w:bCs/>
          <w:lang w:val="es-ES"/>
        </w:rPr>
        <w:t>Según lo establecido en normativa vigente IFRS, los activos financieros deben ser valorados a “valor razonable”, definido como la cantidad por la que puede ser intercambiado un activo o cancelado un pasivo entre un comprador y un vendedor interesados y debidamente informados, en condiciones de independencia mutua.</w:t>
      </w:r>
    </w:p>
    <w:p w14:paraId="65EC403B" w14:textId="77777777" w:rsidR="00A20C55" w:rsidRPr="00D51FEC" w:rsidRDefault="00A20C55" w:rsidP="00A20C55">
      <w:pPr>
        <w:spacing w:after="120"/>
        <w:jc w:val="both"/>
        <w:rPr>
          <w:bCs/>
          <w:lang w:val="es-ES"/>
        </w:rPr>
      </w:pPr>
      <w:r w:rsidRPr="00D51FEC">
        <w:rPr>
          <w:bCs/>
          <w:lang w:val="es-ES"/>
        </w:rPr>
        <w:t xml:space="preserve">Para determinar la valorización y como lo dicta la Norma de Carácter General </w:t>
      </w:r>
      <w:proofErr w:type="spellStart"/>
      <w:r w:rsidRPr="00D51FEC">
        <w:rPr>
          <w:bCs/>
          <w:lang w:val="es-ES"/>
        </w:rPr>
        <w:t>N°</w:t>
      </w:r>
      <w:proofErr w:type="spellEnd"/>
      <w:r>
        <w:rPr>
          <w:bCs/>
          <w:lang w:val="es-ES"/>
        </w:rPr>
        <w:t xml:space="preserve"> </w:t>
      </w:r>
      <w:r w:rsidRPr="00D51FEC">
        <w:rPr>
          <w:bCs/>
          <w:lang w:val="es-ES"/>
        </w:rPr>
        <w:t>376 de 2015 emitida por la CMF, la administradora debe contar con una fuente de información periódica de precios. Además, dicha periodicidad deberá guardar relación directa con el plazo de rescate de cada fondo en particular y la fuente de precios debe dar garantías respecto a su independencia y fiabilidad.</w:t>
      </w:r>
    </w:p>
    <w:p w14:paraId="3368F3AC" w14:textId="77777777" w:rsidR="00A20C55" w:rsidRPr="00D51FEC" w:rsidRDefault="00A20C55" w:rsidP="00A20C55">
      <w:pPr>
        <w:spacing w:after="120"/>
        <w:jc w:val="both"/>
        <w:rPr>
          <w:bCs/>
          <w:lang w:val="es-ES"/>
        </w:rPr>
      </w:pPr>
      <w:r w:rsidRPr="00D51FEC">
        <w:rPr>
          <w:bCs/>
          <w:lang w:val="es-ES"/>
        </w:rPr>
        <w:t xml:space="preserve">Hay que mencionar que en lo relativo a la valorización de instrumentos de renta fija de largo plazo, se utiliza </w:t>
      </w:r>
      <w:proofErr w:type="spellStart"/>
      <w:r w:rsidRPr="00D51FEC">
        <w:rPr>
          <w:bCs/>
          <w:i/>
          <w:lang w:val="es-ES"/>
        </w:rPr>
        <w:t>RiskAmerica</w:t>
      </w:r>
      <w:proofErr w:type="spellEnd"/>
      <w:r w:rsidRPr="00D51FEC">
        <w:rPr>
          <w:bCs/>
          <w:vertAlign w:val="superscript"/>
          <w:lang w:val="es-ES"/>
        </w:rPr>
        <w:footnoteReference w:id="6"/>
      </w:r>
      <w:r w:rsidRPr="00D51FEC">
        <w:rPr>
          <w:bCs/>
          <w:lang w:val="es-ES"/>
        </w:rPr>
        <w:t>, entidad independiente que entrega el precio de mercado de los instrumentos anteriormente señalados. Dicho servicio es un estándar de valorización en la industria de fondos mutuos. Se reconoce que la eventual baja liquidez de algunos títulos de deuda podría afectar la representatividad de los precios y, por ende, la valorización de las cuotas.</w:t>
      </w:r>
    </w:p>
    <w:p w14:paraId="5C58D7F6" w14:textId="77777777" w:rsidR="00A20C55" w:rsidRPr="00D51FEC" w:rsidRDefault="00A20C55" w:rsidP="00A20C55">
      <w:pPr>
        <w:spacing w:after="120"/>
        <w:jc w:val="both"/>
        <w:rPr>
          <w:bCs/>
        </w:rPr>
      </w:pPr>
      <w:r w:rsidRPr="00D51FEC">
        <w:rPr>
          <w:bCs/>
          <w:lang w:val="es"/>
        </w:rPr>
        <w:t xml:space="preserve">El modelo de valorización utilizado por </w:t>
      </w:r>
      <w:proofErr w:type="spellStart"/>
      <w:r w:rsidRPr="00D51FEC">
        <w:rPr>
          <w:bCs/>
          <w:i/>
          <w:iCs/>
          <w:lang w:val="es"/>
        </w:rPr>
        <w:t>RiskAmerica</w:t>
      </w:r>
      <w:proofErr w:type="spellEnd"/>
      <w:r w:rsidRPr="00D51FEC">
        <w:rPr>
          <w:bCs/>
          <w:lang w:val="es"/>
        </w:rPr>
        <w:t xml:space="preserve"> toma en consideración:</w:t>
      </w:r>
    </w:p>
    <w:p w14:paraId="5761E756" w14:textId="77777777" w:rsidR="00A20C55" w:rsidRPr="00A81034" w:rsidRDefault="00A20C55" w:rsidP="0095196B">
      <w:pPr>
        <w:pStyle w:val="Prrafodelista"/>
        <w:numPr>
          <w:ilvl w:val="0"/>
          <w:numId w:val="21"/>
        </w:numPr>
        <w:spacing w:after="120"/>
        <w:jc w:val="both"/>
        <w:rPr>
          <w:bCs/>
        </w:rPr>
      </w:pPr>
      <w:r w:rsidRPr="00A81034">
        <w:rPr>
          <w:bCs/>
          <w:lang w:val="es"/>
        </w:rPr>
        <w:t>El precio observado en el mercado de los instrumentos financieros ya sea derivado a partir de observaciones o modelaciones.</w:t>
      </w:r>
    </w:p>
    <w:p w14:paraId="61F4A874" w14:textId="77777777" w:rsidR="00A20C55" w:rsidRPr="00A81034" w:rsidRDefault="00A20C55" w:rsidP="0095196B">
      <w:pPr>
        <w:pStyle w:val="Prrafodelista"/>
        <w:numPr>
          <w:ilvl w:val="0"/>
          <w:numId w:val="21"/>
        </w:numPr>
        <w:spacing w:after="120"/>
        <w:jc w:val="both"/>
        <w:rPr>
          <w:bCs/>
        </w:rPr>
      </w:pPr>
      <w:r w:rsidRPr="00A81034">
        <w:rPr>
          <w:bCs/>
          <w:lang w:val="es"/>
        </w:rPr>
        <w:t>El riesgo de crédito presentado por el emisor de un instrumento de deuda.</w:t>
      </w:r>
    </w:p>
    <w:p w14:paraId="01EF5EA9" w14:textId="77777777" w:rsidR="00A20C55" w:rsidRPr="00A81034" w:rsidRDefault="00A20C55" w:rsidP="0095196B">
      <w:pPr>
        <w:pStyle w:val="Prrafodelista"/>
        <w:numPr>
          <w:ilvl w:val="0"/>
          <w:numId w:val="21"/>
        </w:numPr>
        <w:spacing w:after="120"/>
        <w:jc w:val="both"/>
        <w:rPr>
          <w:bCs/>
        </w:rPr>
      </w:pPr>
      <w:r w:rsidRPr="00A81034">
        <w:rPr>
          <w:bCs/>
          <w:lang w:val="es"/>
        </w:rPr>
        <w:t>Las condiciones de liquidez y profundidad de los mercados correspondientes.</w:t>
      </w:r>
    </w:p>
    <w:p w14:paraId="474915FD" w14:textId="44EB08E8" w:rsidR="003100C5" w:rsidRDefault="00073195" w:rsidP="009F4EDB">
      <w:pPr>
        <w:spacing w:after="120"/>
        <w:jc w:val="both"/>
      </w:pPr>
      <w:r w:rsidRPr="00BC514C">
        <w:lastRenderedPageBreak/>
        <w:t xml:space="preserve">En opinión de </w:t>
      </w:r>
      <w:r w:rsidRPr="00BC514C">
        <w:rPr>
          <w:b/>
          <w:bCs/>
          <w:i/>
          <w:iCs/>
        </w:rPr>
        <w:t>Humphreys</w:t>
      </w:r>
      <w:r w:rsidRPr="00BC514C">
        <w:t>,</w:t>
      </w:r>
      <w:r w:rsidR="007A5A82">
        <w:t xml:space="preserve"> </w:t>
      </w:r>
      <w:r w:rsidRPr="00BC514C">
        <w:t xml:space="preserve">el mecanismo de valorización no difiere significativamente de una valorización de mercado propiamente tal y </w:t>
      </w:r>
      <w:r w:rsidR="00273E6F" w:rsidRPr="00BC514C">
        <w:t>en caso de que</w:t>
      </w:r>
      <w:r w:rsidRPr="00BC514C">
        <w:t xml:space="preserve"> así ocurriese (situación excepcional), se tiene la facultad de llevar a cabo la corrección correspondiente. </w:t>
      </w:r>
    </w:p>
    <w:p w14:paraId="07C175A4" w14:textId="77777777" w:rsidR="00A81034" w:rsidRPr="00BC514C" w:rsidRDefault="00A81034" w:rsidP="009F4EDB">
      <w:pPr>
        <w:spacing w:after="120"/>
        <w:jc w:val="both"/>
      </w:pPr>
    </w:p>
    <w:p w14:paraId="5FE6216A" w14:textId="54ABA518" w:rsidR="00340D36" w:rsidRPr="00BC514C" w:rsidRDefault="00340D36" w:rsidP="00340D36">
      <w:pPr>
        <w:pStyle w:val="Ttulo"/>
      </w:pPr>
      <w:r w:rsidRPr="00BC514C">
        <w:t xml:space="preserve">Pérdida esperada, riesgo de mercado y </w:t>
      </w:r>
      <w:proofErr w:type="spellStart"/>
      <w:r w:rsidRPr="00BC514C">
        <w:rPr>
          <w:i/>
          <w:iCs/>
        </w:rPr>
        <w:t>duration</w:t>
      </w:r>
      <w:proofErr w:type="spellEnd"/>
      <w:r w:rsidRPr="00BC514C">
        <w:rPr>
          <w:i/>
          <w:iCs/>
        </w:rPr>
        <w:t xml:space="preserve"> </w:t>
      </w:r>
      <w:r w:rsidRPr="00BC514C">
        <w:t>del fondo.</w:t>
      </w:r>
    </w:p>
    <w:p w14:paraId="325777EC" w14:textId="532FB8CE" w:rsidR="00B12E1D" w:rsidRDefault="336CA5B6" w:rsidP="00B724CA">
      <w:pPr>
        <w:spacing w:after="120"/>
        <w:jc w:val="both"/>
      </w:pPr>
      <w:r>
        <w:t xml:space="preserve">La </w:t>
      </w:r>
      <w:r w:rsidR="07C20DA7">
        <w:t xml:space="preserve">estructura del portafolio de inversiones de </w:t>
      </w:r>
      <w:r w:rsidR="00B12E1D" w:rsidRPr="58225379">
        <w:rPr>
          <w:b/>
          <w:bCs/>
        </w:rPr>
        <w:t xml:space="preserve">FM </w:t>
      </w:r>
      <w:proofErr w:type="spellStart"/>
      <w:r w:rsidR="00570533" w:rsidRPr="58225379">
        <w:rPr>
          <w:b/>
          <w:bCs/>
        </w:rPr>
        <w:t>Latam</w:t>
      </w:r>
      <w:proofErr w:type="spellEnd"/>
      <w:r w:rsidR="00570533" w:rsidRPr="58225379">
        <w:rPr>
          <w:b/>
          <w:bCs/>
        </w:rPr>
        <w:t xml:space="preserve"> </w:t>
      </w:r>
      <w:proofErr w:type="spellStart"/>
      <w:r w:rsidR="00570533" w:rsidRPr="58225379">
        <w:rPr>
          <w:b/>
          <w:bCs/>
        </w:rPr>
        <w:t>Corporate</w:t>
      </w:r>
      <w:proofErr w:type="spellEnd"/>
      <w:r w:rsidR="00B12E1D" w:rsidRPr="58225379">
        <w:rPr>
          <w:b/>
          <w:bCs/>
        </w:rPr>
        <w:t xml:space="preserve"> </w:t>
      </w:r>
      <w:r w:rsidR="00B12E1D">
        <w:t xml:space="preserve">se concentra mayoritariamente en instrumentos cuyos </w:t>
      </w:r>
      <w:r w:rsidR="00FE366B">
        <w:t>emisores,</w:t>
      </w:r>
      <w:r w:rsidR="00B12E1D">
        <w:t xml:space="preserve"> al cierre de </w:t>
      </w:r>
      <w:r w:rsidR="0009499F">
        <w:t>noviembre</w:t>
      </w:r>
      <w:r w:rsidR="009B6644">
        <w:t xml:space="preserve"> </w:t>
      </w:r>
      <w:r w:rsidR="00B12E1D">
        <w:t>de 202</w:t>
      </w:r>
      <w:r w:rsidR="0009499F">
        <w:t>2</w:t>
      </w:r>
      <w:r w:rsidR="00B12E1D">
        <w:t xml:space="preserve">, están clasificados en </w:t>
      </w:r>
      <w:r w:rsidR="00B12E1D" w:rsidRPr="58225379">
        <w:rPr>
          <w:i/>
          <w:iCs/>
        </w:rPr>
        <w:t xml:space="preserve">“Categoría A” </w:t>
      </w:r>
      <w:r w:rsidR="00B12E1D">
        <w:t xml:space="preserve">y </w:t>
      </w:r>
      <w:r w:rsidR="00B12E1D" w:rsidRPr="58225379">
        <w:rPr>
          <w:i/>
          <w:iCs/>
        </w:rPr>
        <w:t>“Categoría</w:t>
      </w:r>
      <w:r w:rsidR="006C4D3A" w:rsidRPr="58225379">
        <w:rPr>
          <w:i/>
          <w:iCs/>
        </w:rPr>
        <w:t> </w:t>
      </w:r>
      <w:r w:rsidR="00197D6E" w:rsidRPr="58225379">
        <w:rPr>
          <w:i/>
          <w:iCs/>
        </w:rPr>
        <w:t>BBB”</w:t>
      </w:r>
      <w:r w:rsidR="00197D6E">
        <w:t xml:space="preserve"> alcanzando</w:t>
      </w:r>
      <w:r w:rsidR="00127A1A">
        <w:t xml:space="preserve"> una </w:t>
      </w:r>
      <w:r w:rsidR="00B12E1D">
        <w:t xml:space="preserve">concentración promedio de </w:t>
      </w:r>
      <w:r w:rsidR="004517BF">
        <w:t>71</w:t>
      </w:r>
      <w:r w:rsidR="00CA4427">
        <w:t>,</w:t>
      </w:r>
      <w:r w:rsidR="004517BF">
        <w:t>88</w:t>
      </w:r>
      <w:r w:rsidR="00B12E1D">
        <w:t xml:space="preserve">% y </w:t>
      </w:r>
      <w:r w:rsidR="00CA4427">
        <w:t>1</w:t>
      </w:r>
      <w:r w:rsidR="004517BF">
        <w:t>7</w:t>
      </w:r>
      <w:r w:rsidR="00CA4427">
        <w:t>,</w:t>
      </w:r>
      <w:r w:rsidR="004517BF">
        <w:t>64</w:t>
      </w:r>
      <w:r w:rsidR="00B12E1D">
        <w:t>% en los últimos dos años, respectivamente</w:t>
      </w:r>
      <w:r w:rsidR="72324C9F">
        <w:t>;</w:t>
      </w:r>
      <w:r w:rsidR="004517BF">
        <w:t xml:space="preserve"> además, es importante mencionar</w:t>
      </w:r>
      <w:r w:rsidR="1BE4F22B">
        <w:t xml:space="preserve"> durante los último dos meses</w:t>
      </w:r>
      <w:r w:rsidR="004517BF">
        <w:t xml:space="preserve"> </w:t>
      </w:r>
      <w:r w:rsidR="00513146">
        <w:t xml:space="preserve">se </w:t>
      </w:r>
      <w:r w:rsidR="00D34878">
        <w:t>está</w:t>
      </w:r>
      <w:r w:rsidR="00513146">
        <w:t xml:space="preserve"> </w:t>
      </w:r>
      <w:r w:rsidR="00D34878">
        <w:t>invirtiendo</w:t>
      </w:r>
      <w:r w:rsidR="00513146">
        <w:t xml:space="preserve"> en instrumentos clasificados en </w:t>
      </w:r>
      <w:r w:rsidR="00513146" w:rsidRPr="58225379">
        <w:rPr>
          <w:i/>
          <w:iCs/>
        </w:rPr>
        <w:t xml:space="preserve">“Categoría B” </w:t>
      </w:r>
      <w:r w:rsidR="00D34878">
        <w:t>, alcanzando a noviembre de 2022 un 3,27</w:t>
      </w:r>
      <w:r w:rsidR="00A037BD">
        <w:t>%.</w:t>
      </w:r>
      <w:r w:rsidR="00B12E1D">
        <w:t xml:space="preserve"> A la misma fecha, un </w:t>
      </w:r>
      <w:r w:rsidR="000D0A3B">
        <w:t>7</w:t>
      </w:r>
      <w:r w:rsidR="00A037BD">
        <w:t>2</w:t>
      </w:r>
      <w:r w:rsidR="000D0A3B">
        <w:t>,</w:t>
      </w:r>
      <w:r w:rsidR="00A037BD">
        <w:t>94</w:t>
      </w:r>
      <w:r w:rsidR="00B12E1D">
        <w:t xml:space="preserve">% del fondo se concentró en instrumentos cuyos emisores son clasificados en </w:t>
      </w:r>
      <w:r w:rsidR="00B12E1D" w:rsidRPr="58225379">
        <w:rPr>
          <w:i/>
          <w:iCs/>
        </w:rPr>
        <w:t xml:space="preserve">“Categoría A-” </w:t>
      </w:r>
      <w:r w:rsidR="00B12E1D">
        <w:t xml:space="preserve">o superior, por lo que es posible presumir que la cartera presenta un reducido riesgo de </w:t>
      </w:r>
      <w:r w:rsidR="00B12E1D" w:rsidRPr="58225379">
        <w:rPr>
          <w:i/>
          <w:iCs/>
        </w:rPr>
        <w:t>default</w:t>
      </w:r>
      <w:r w:rsidR="00B12E1D">
        <w:t xml:space="preserve">. Por lo tanto, </w:t>
      </w:r>
      <w:r w:rsidR="006B4854">
        <w:t xml:space="preserve">no </w:t>
      </w:r>
      <w:r w:rsidR="00B12E1D">
        <w:t xml:space="preserve">es </w:t>
      </w:r>
      <w:r w:rsidR="006B4854">
        <w:t xml:space="preserve">elevado </w:t>
      </w:r>
      <w:r w:rsidR="00886EFF">
        <w:t>el riesgo</w:t>
      </w:r>
      <w:r w:rsidR="00B12E1D">
        <w:t xml:space="preserve"> de cambio en el valor del fondo por efecto de pérdidas en uno o más activos por incumplimiento de los respectivos emisores. La </w:t>
      </w:r>
      <w:r>
        <w:fldChar w:fldCharType="begin"/>
      </w:r>
      <w:r>
        <w:instrText xml:space="preserve"> REF _Ref82006710 \h  \* MERGEFORMAT </w:instrText>
      </w:r>
      <w:r>
        <w:fldChar w:fldCharType="separate"/>
      </w:r>
      <w:r w:rsidR="00BA37AC" w:rsidRPr="000F3E69">
        <w:t xml:space="preserve">Ilustración </w:t>
      </w:r>
      <w:r w:rsidR="00BA37AC">
        <w:rPr>
          <w:noProof/>
        </w:rPr>
        <w:t>4</w:t>
      </w:r>
      <w:r>
        <w:fldChar w:fldCharType="end"/>
      </w:r>
      <w:r w:rsidR="000B6A04">
        <w:t xml:space="preserve"> </w:t>
      </w:r>
      <w:r w:rsidR="00B12E1D">
        <w:t xml:space="preserve">muestra la distribución de la cartera de activos en base al </w:t>
      </w:r>
      <w:r w:rsidR="00B12E1D" w:rsidRPr="58225379">
        <w:rPr>
          <w:i/>
          <w:iCs/>
        </w:rPr>
        <w:t xml:space="preserve">rating </w:t>
      </w:r>
      <w:r w:rsidR="00B12E1D">
        <w:t>de los emisores.</w:t>
      </w:r>
    </w:p>
    <w:p w14:paraId="508CD680" w14:textId="266E3BA7" w:rsidR="00E30F48" w:rsidRPr="00311D1A" w:rsidRDefault="00E30F48" w:rsidP="00C67E4C">
      <w:pPr>
        <w:spacing w:after="120"/>
        <w:jc w:val="center"/>
        <w:rPr>
          <w:highlight w:val="yellow"/>
        </w:rPr>
      </w:pPr>
      <w:r>
        <w:rPr>
          <w:noProof/>
        </w:rPr>
        <w:drawing>
          <wp:inline distT="0" distB="0" distL="0" distR="0" wp14:anchorId="6DF34C6F" wp14:editId="111F7434">
            <wp:extent cx="5760000" cy="2520000"/>
            <wp:effectExtent l="0" t="0" r="0" b="0"/>
            <wp:docPr id="22" name="Gráfico 22">
              <a:extLst xmlns:a="http://schemas.openxmlformats.org/drawingml/2006/main">
                <a:ext uri="{FF2B5EF4-FFF2-40B4-BE49-F238E27FC236}">
                  <a16:creationId xmlns:a16="http://schemas.microsoft.com/office/drawing/2014/main" id="{A0DF6EBA-F644-44EA-BBC4-B826D815E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A32C22" w14:textId="6AB9769A" w:rsidR="0021692B" w:rsidRPr="000F3E69" w:rsidRDefault="00DE097E" w:rsidP="00DE097E">
      <w:pPr>
        <w:pStyle w:val="Descripcin"/>
      </w:pPr>
      <w:bookmarkStart w:id="11" w:name="_Ref82006710"/>
      <w:r w:rsidRPr="000F3E69">
        <w:t xml:space="preserve">Ilustración </w:t>
      </w:r>
      <w:r w:rsidRPr="000F3E69">
        <w:fldChar w:fldCharType="begin"/>
      </w:r>
      <w:r w:rsidRPr="000F3E69">
        <w:instrText>SEQ Ilustración \* ARABIC</w:instrText>
      </w:r>
      <w:r w:rsidRPr="000F3E69">
        <w:fldChar w:fldCharType="separate"/>
      </w:r>
      <w:r w:rsidR="00BA37AC">
        <w:rPr>
          <w:noProof/>
        </w:rPr>
        <w:t>4</w:t>
      </w:r>
      <w:r w:rsidRPr="000F3E69">
        <w:fldChar w:fldCharType="end"/>
      </w:r>
      <w:bookmarkEnd w:id="11"/>
      <w:r w:rsidRPr="000F3E69">
        <w:t>: Clasificación de riesgo de los emisores</w:t>
      </w:r>
    </w:p>
    <w:p w14:paraId="7C9BF2DB" w14:textId="48F7F1A2" w:rsidR="001551FF" w:rsidRDefault="68F0E599" w:rsidP="0095196B">
      <w:pPr>
        <w:spacing w:after="120"/>
        <w:jc w:val="both"/>
      </w:pPr>
      <w:r>
        <w:t xml:space="preserve">Según las pérdidas, asociadas por </w:t>
      </w:r>
      <w:r w:rsidRPr="58225379">
        <w:rPr>
          <w:b/>
          <w:bCs/>
          <w:i/>
          <w:iCs/>
        </w:rPr>
        <w:t xml:space="preserve">Humphreys </w:t>
      </w:r>
      <w:r>
        <w:t xml:space="preserve">a las distintas categorías de </w:t>
      </w:r>
      <w:r w:rsidR="2BAB7C3A">
        <w:t>riesgo considerando</w:t>
      </w:r>
      <w:r>
        <w:t xml:space="preserve"> la información de la cartera al cierre de</w:t>
      </w:r>
      <w:r w:rsidR="005A1FDE">
        <w:t xml:space="preserve"> </w:t>
      </w:r>
      <w:r w:rsidR="00F13DE7">
        <w:t>noviembre</w:t>
      </w:r>
      <w:r w:rsidR="007515C0">
        <w:t xml:space="preserve"> de 202</w:t>
      </w:r>
      <w:r w:rsidR="00F13DE7">
        <w:t>2</w:t>
      </w:r>
      <w:r w:rsidRPr="58225379">
        <w:rPr>
          <w:rFonts w:eastAsiaTheme="minorEastAsia"/>
        </w:rPr>
        <w:t xml:space="preserve">, </w:t>
      </w:r>
      <w:r w:rsidR="516D9F35" w:rsidRPr="58225379">
        <w:rPr>
          <w:rFonts w:eastAsiaTheme="minorEastAsia"/>
        </w:rPr>
        <w:t>e</w:t>
      </w:r>
      <w:r w:rsidR="35741A78" w:rsidRPr="58225379">
        <w:rPr>
          <w:rFonts w:eastAsiaTheme="minorEastAsia"/>
        </w:rPr>
        <w:t>sta tendría</w:t>
      </w:r>
      <w:r w:rsidR="36B99613" w:rsidRPr="58225379">
        <w:rPr>
          <w:rFonts w:eastAsiaTheme="minorEastAsia"/>
        </w:rPr>
        <w:t xml:space="preserve">, con un horizonte de </w:t>
      </w:r>
      <w:r w:rsidR="00FF46C2">
        <w:rPr>
          <w:rFonts w:eastAsiaTheme="minorEastAsia"/>
        </w:rPr>
        <w:t>12</w:t>
      </w:r>
      <w:r w:rsidR="36B99613" w:rsidRPr="58225379">
        <w:rPr>
          <w:rFonts w:eastAsiaTheme="minorEastAsia"/>
        </w:rPr>
        <w:t xml:space="preserve"> años,</w:t>
      </w:r>
      <w:r w:rsidR="35741A78" w:rsidRPr="58225379">
        <w:rPr>
          <w:rFonts w:eastAsiaTheme="minorEastAsia"/>
        </w:rPr>
        <w:t xml:space="preserve"> una pérdida esperada </w:t>
      </w:r>
      <w:r w:rsidR="00290886" w:rsidRPr="58225379">
        <w:rPr>
          <w:rFonts w:eastAsiaTheme="minorEastAsia"/>
        </w:rPr>
        <w:t>de 1,163173%</w:t>
      </w:r>
      <w:r w:rsidR="35741A78" w:rsidRPr="58225379">
        <w:rPr>
          <w:rFonts w:eastAsiaTheme="minorEastAsia"/>
        </w:rPr>
        <w:t>.</w:t>
      </w:r>
      <w:r w:rsidR="35741A78" w:rsidRPr="58225379">
        <w:rPr>
          <w:rFonts w:eastAsia="Myriad Pro Light" w:cs="Myriad Pro Light"/>
        </w:rPr>
        <w:t xml:space="preserve"> Al analizar el desempeño del </w:t>
      </w:r>
      <w:r w:rsidR="3D073280" w:rsidRPr="58225379">
        <w:rPr>
          <w:rFonts w:eastAsia="Myriad Pro Light" w:cs="Myriad Pro Light"/>
        </w:rPr>
        <w:t>indicador</w:t>
      </w:r>
      <w:r w:rsidR="35741A78" w:rsidRPr="58225379">
        <w:rPr>
          <w:rFonts w:eastAsia="Myriad Pro Light" w:cs="Myriad Pro Light"/>
        </w:rPr>
        <w:t xml:space="preserve"> de </w:t>
      </w:r>
      <w:r w:rsidR="3D073280" w:rsidRPr="58225379">
        <w:rPr>
          <w:rFonts w:eastAsia="Myriad Pro Light" w:cs="Myriad Pro Light"/>
        </w:rPr>
        <w:t>pérdida</w:t>
      </w:r>
      <w:r w:rsidR="35741A78" w:rsidRPr="58225379">
        <w:rPr>
          <w:rFonts w:eastAsia="Myriad Pro Light" w:cs="Myriad Pro Light"/>
        </w:rPr>
        <w:t xml:space="preserve"> de los</w:t>
      </w:r>
      <w:r w:rsidR="3D073280" w:rsidRPr="58225379">
        <w:rPr>
          <w:rFonts w:eastAsia="Myriad Pro Light" w:cs="Myriad Pro Light"/>
        </w:rPr>
        <w:t xml:space="preserve"> últimos </w:t>
      </w:r>
      <w:r w:rsidR="3D073280" w:rsidRPr="58225379">
        <w:rPr>
          <w:rFonts w:eastAsiaTheme="minorEastAsia"/>
        </w:rPr>
        <w:t xml:space="preserve">dos años, </w:t>
      </w:r>
      <w:r w:rsidR="0CC3074A" w:rsidRPr="58225379">
        <w:rPr>
          <w:rFonts w:eastAsiaTheme="minorEastAsia"/>
        </w:rPr>
        <w:t>e</w:t>
      </w:r>
      <w:r w:rsidR="3D073280" w:rsidRPr="58225379">
        <w:rPr>
          <w:rFonts w:eastAsiaTheme="minorEastAsia"/>
        </w:rPr>
        <w:t xml:space="preserve">ste ha presentado un valor promedio de </w:t>
      </w:r>
      <w:r w:rsidR="003B2102" w:rsidRPr="58225379">
        <w:rPr>
          <w:rFonts w:eastAsiaTheme="minorEastAsia"/>
        </w:rPr>
        <w:t>0,965916%</w:t>
      </w:r>
      <w:r w:rsidR="35741A78" w:rsidRPr="58225379">
        <w:rPr>
          <w:rFonts w:eastAsiaTheme="minorEastAsia"/>
        </w:rPr>
        <w:t>,</w:t>
      </w:r>
      <w:r w:rsidR="00E9344A" w:rsidRPr="58225379">
        <w:rPr>
          <w:rFonts w:eastAsiaTheme="minorEastAsia"/>
        </w:rPr>
        <w:t xml:space="preserve"> donde</w:t>
      </w:r>
      <w:r w:rsidR="35741A78" w:rsidRPr="58225379">
        <w:rPr>
          <w:rFonts w:eastAsiaTheme="minorEastAsia"/>
        </w:rPr>
        <w:t xml:space="preserve"> e</w:t>
      </w:r>
      <w:r w:rsidR="3D073280" w:rsidRPr="58225379">
        <w:rPr>
          <w:rFonts w:eastAsiaTheme="minorEastAsia"/>
        </w:rPr>
        <w:t>l</w:t>
      </w:r>
      <w:r w:rsidR="35741A78" w:rsidRPr="58225379">
        <w:rPr>
          <w:rFonts w:eastAsiaTheme="minorEastAsia"/>
        </w:rPr>
        <w:t xml:space="preserve"> in</w:t>
      </w:r>
      <w:r w:rsidR="3D073280" w:rsidRPr="58225379">
        <w:rPr>
          <w:rFonts w:eastAsiaTheme="minorEastAsia"/>
        </w:rPr>
        <w:t>d</w:t>
      </w:r>
      <w:r w:rsidR="35741A78" w:rsidRPr="58225379">
        <w:rPr>
          <w:rFonts w:eastAsiaTheme="minorEastAsia"/>
        </w:rPr>
        <w:t xml:space="preserve">icador de </w:t>
      </w:r>
      <w:r w:rsidR="2BAB7C3A" w:rsidRPr="58225379">
        <w:rPr>
          <w:rFonts w:eastAsiaTheme="minorEastAsia"/>
        </w:rPr>
        <w:t>pérdida</w:t>
      </w:r>
      <w:r w:rsidR="35741A78" w:rsidRPr="58225379">
        <w:rPr>
          <w:rFonts w:eastAsiaTheme="minorEastAsia"/>
        </w:rPr>
        <w:t xml:space="preserve"> ha variado entre </w:t>
      </w:r>
      <w:r w:rsidR="003B2102" w:rsidRPr="58225379">
        <w:rPr>
          <w:rFonts w:eastAsiaTheme="minorEastAsia"/>
        </w:rPr>
        <w:t xml:space="preserve">0,750191% </w:t>
      </w:r>
      <w:r w:rsidR="35741A78" w:rsidRPr="58225379">
        <w:rPr>
          <w:rFonts w:eastAsiaTheme="minorEastAsia"/>
        </w:rPr>
        <w:t>y</w:t>
      </w:r>
      <w:r w:rsidR="35741A78">
        <w:t xml:space="preserve"> </w:t>
      </w:r>
      <w:r w:rsidR="002B18BD">
        <w:t xml:space="preserve">1,163173%, </w:t>
      </w:r>
      <w:r w:rsidR="35741A78">
        <w:t>en línea con la clasificación de riesgo asignada. La</w:t>
      </w:r>
      <w:r w:rsidR="7737B817">
        <w:t xml:space="preserve"> </w:t>
      </w:r>
      <w:r>
        <w:fldChar w:fldCharType="begin"/>
      </w:r>
      <w:r>
        <w:instrText xml:space="preserve"> REF _Ref82007962 \h  \* MERGEFORMAT </w:instrText>
      </w:r>
      <w:r>
        <w:fldChar w:fldCharType="separate"/>
      </w:r>
      <w:r w:rsidR="00BA37AC" w:rsidRPr="00EE0F7B">
        <w:t xml:space="preserve">Ilustración </w:t>
      </w:r>
      <w:r w:rsidR="00BA37AC">
        <w:rPr>
          <w:noProof/>
        </w:rPr>
        <w:t>5</w:t>
      </w:r>
      <w:r>
        <w:fldChar w:fldCharType="end"/>
      </w:r>
      <w:r w:rsidR="00AF1CB1">
        <w:t xml:space="preserve"> </w:t>
      </w:r>
      <w:r w:rsidR="35741A78">
        <w:t xml:space="preserve">presenta la evolución del indicador de pérdida esperada del </w:t>
      </w:r>
      <w:r w:rsidR="35741A78" w:rsidRPr="58225379">
        <w:rPr>
          <w:b/>
          <w:bCs/>
        </w:rPr>
        <w:t xml:space="preserve">FM </w:t>
      </w:r>
      <w:proofErr w:type="spellStart"/>
      <w:r w:rsidR="000F3E69" w:rsidRPr="58225379">
        <w:rPr>
          <w:b/>
          <w:bCs/>
        </w:rPr>
        <w:t>Latam</w:t>
      </w:r>
      <w:proofErr w:type="spellEnd"/>
      <w:r w:rsidR="000F3E69" w:rsidRPr="58225379">
        <w:rPr>
          <w:b/>
          <w:bCs/>
        </w:rPr>
        <w:t xml:space="preserve"> </w:t>
      </w:r>
      <w:proofErr w:type="spellStart"/>
      <w:r w:rsidR="000F3E69" w:rsidRPr="58225379">
        <w:rPr>
          <w:b/>
          <w:bCs/>
        </w:rPr>
        <w:t>Corporate</w:t>
      </w:r>
      <w:proofErr w:type="spellEnd"/>
      <w:r w:rsidR="35741A78">
        <w:t>.</w:t>
      </w:r>
    </w:p>
    <w:p w14:paraId="0D702DE8" w14:textId="291C26FD" w:rsidR="00A81034" w:rsidRDefault="00A81034" w:rsidP="00A81034">
      <w:pPr>
        <w:spacing w:after="120"/>
        <w:jc w:val="both"/>
      </w:pPr>
      <w:r>
        <w:t>Por su parte, el riesgo de mercado</w:t>
      </w:r>
      <w:r w:rsidR="3D202C77">
        <w:t xml:space="preserve"> considera</w:t>
      </w:r>
      <w:r>
        <w:t xml:space="preserve"> el perfil de la cartera de inversión, que se concentra principalmente en el largo plazo (</w:t>
      </w:r>
      <w:proofErr w:type="spellStart"/>
      <w:r w:rsidRPr="58225379">
        <w:rPr>
          <w:i/>
          <w:iCs/>
        </w:rPr>
        <w:t>duration</w:t>
      </w:r>
      <w:proofErr w:type="spellEnd"/>
      <w:r w:rsidRPr="58225379">
        <w:rPr>
          <w:i/>
          <w:iCs/>
        </w:rPr>
        <w:t xml:space="preserve"> </w:t>
      </w:r>
      <w:r>
        <w:t xml:space="preserve">promedio de 2.404 días para los últimos doce meses al cierre </w:t>
      </w:r>
      <w:r>
        <w:lastRenderedPageBreak/>
        <w:t xml:space="preserve">de noviembre de 2022). La totalidad de las inversiones del fondo se encuentran expresadas en dólares de los Estados Unidos, con una importancia relativa promedio en los últimos años de un 99,37%. La </w:t>
      </w:r>
      <w:r>
        <w:fldChar w:fldCharType="begin"/>
      </w:r>
      <w:r>
        <w:instrText xml:space="preserve"> REF _Ref83198989 \h  \* MERGEFORMAT </w:instrText>
      </w:r>
      <w:r>
        <w:fldChar w:fldCharType="separate"/>
      </w:r>
      <w:r w:rsidR="00BA37AC" w:rsidRPr="00363B85">
        <w:t xml:space="preserve">Ilustración </w:t>
      </w:r>
      <w:r w:rsidR="00BA37AC">
        <w:rPr>
          <w:noProof/>
        </w:rPr>
        <w:t>6</w:t>
      </w:r>
      <w:r>
        <w:fldChar w:fldCharType="end"/>
      </w:r>
      <w:r>
        <w:t xml:space="preserve"> muestra cómo ha evolucionado la </w:t>
      </w:r>
      <w:proofErr w:type="spellStart"/>
      <w:r w:rsidRPr="58225379">
        <w:rPr>
          <w:i/>
          <w:iCs/>
        </w:rPr>
        <w:t>duration</w:t>
      </w:r>
      <w:proofErr w:type="spellEnd"/>
      <w:r w:rsidRPr="58225379">
        <w:rPr>
          <w:i/>
          <w:iCs/>
        </w:rPr>
        <w:t xml:space="preserve"> </w:t>
      </w:r>
      <w:r>
        <w:t>de la cartera, la cual a noviembre de 2022 era de 2.512 días.</w:t>
      </w:r>
    </w:p>
    <w:p w14:paraId="33B2BE41" w14:textId="77777777" w:rsidR="00A81034" w:rsidRDefault="00A81034" w:rsidP="00290886">
      <w:pPr>
        <w:jc w:val="both"/>
      </w:pPr>
    </w:p>
    <w:p w14:paraId="0FD9C775" w14:textId="2E8A6BEE" w:rsidR="004E0E8E" w:rsidRPr="00311D1A" w:rsidRDefault="004E0E8E" w:rsidP="004E0E8E">
      <w:pPr>
        <w:spacing w:after="120"/>
        <w:jc w:val="center"/>
        <w:rPr>
          <w:highlight w:val="yellow"/>
        </w:rPr>
      </w:pPr>
      <w:r>
        <w:rPr>
          <w:noProof/>
        </w:rPr>
        <w:drawing>
          <wp:inline distT="0" distB="0" distL="0" distR="0" wp14:anchorId="0F5B6720" wp14:editId="012C0744">
            <wp:extent cx="5760000" cy="2520000"/>
            <wp:effectExtent l="0" t="0" r="0" b="0"/>
            <wp:docPr id="23" name="Gráfico 23">
              <a:extLst xmlns:a="http://schemas.openxmlformats.org/drawingml/2006/main">
                <a:ext uri="{FF2B5EF4-FFF2-40B4-BE49-F238E27FC236}">
                  <a16:creationId xmlns:a16="http://schemas.microsoft.com/office/drawing/2014/main" id="{D7399173-BA1D-40E0-BCF8-9F2890EA7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2B5FF4" w14:textId="09CBDF39" w:rsidR="00B825E0" w:rsidRPr="00EE0F7B" w:rsidRDefault="00854C9F" w:rsidP="00854C9F">
      <w:pPr>
        <w:pStyle w:val="Descripcin"/>
      </w:pPr>
      <w:bookmarkStart w:id="12" w:name="_Ref82007962"/>
      <w:r w:rsidRPr="00EE0F7B">
        <w:t xml:space="preserve">Ilustración </w:t>
      </w:r>
      <w:r w:rsidRPr="00EE0F7B">
        <w:fldChar w:fldCharType="begin"/>
      </w:r>
      <w:r w:rsidRPr="00EE0F7B">
        <w:instrText>SEQ Ilustración \* ARABIC</w:instrText>
      </w:r>
      <w:r w:rsidRPr="00EE0F7B">
        <w:fldChar w:fldCharType="separate"/>
      </w:r>
      <w:r w:rsidR="00BA37AC">
        <w:rPr>
          <w:noProof/>
        </w:rPr>
        <w:t>5</w:t>
      </w:r>
      <w:r w:rsidRPr="00EE0F7B">
        <w:fldChar w:fldCharType="end"/>
      </w:r>
      <w:bookmarkEnd w:id="12"/>
      <w:r w:rsidRPr="00EE0F7B">
        <w:t>: Pérdida esperada</w:t>
      </w:r>
    </w:p>
    <w:p w14:paraId="3AC07871" w14:textId="03F78C79" w:rsidR="003D5933" w:rsidRPr="00311D1A" w:rsidRDefault="003D5933" w:rsidP="003E441F">
      <w:pPr>
        <w:spacing w:after="120"/>
        <w:jc w:val="center"/>
        <w:rPr>
          <w:highlight w:val="yellow"/>
        </w:rPr>
      </w:pPr>
      <w:r>
        <w:rPr>
          <w:noProof/>
        </w:rPr>
        <w:drawing>
          <wp:inline distT="0" distB="0" distL="0" distR="0" wp14:anchorId="4AD4A106" wp14:editId="2DF93D8A">
            <wp:extent cx="5760000" cy="2520000"/>
            <wp:effectExtent l="0" t="0" r="0" b="0"/>
            <wp:docPr id="3" name="Gráfico 3">
              <a:extLst xmlns:a="http://schemas.openxmlformats.org/drawingml/2006/main">
                <a:ext uri="{FF2B5EF4-FFF2-40B4-BE49-F238E27FC236}">
                  <a16:creationId xmlns:a16="http://schemas.microsoft.com/office/drawing/2014/main" id="{A17D0CB0-7D6C-49F5-8A0D-C137FC800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F0A2AD" w14:textId="3E50A4B5" w:rsidR="00D529B4" w:rsidRPr="00363B85" w:rsidRDefault="004F318D" w:rsidP="004F318D">
      <w:pPr>
        <w:pStyle w:val="Descripcin"/>
      </w:pPr>
      <w:bookmarkStart w:id="13" w:name="_Ref83198989"/>
      <w:r w:rsidRPr="00363B85">
        <w:t xml:space="preserve">Ilustración </w:t>
      </w:r>
      <w:r w:rsidRPr="00363B85">
        <w:fldChar w:fldCharType="begin"/>
      </w:r>
      <w:r w:rsidRPr="00363B85">
        <w:instrText>SEQ Ilustración \* ARABIC</w:instrText>
      </w:r>
      <w:r w:rsidRPr="00363B85">
        <w:fldChar w:fldCharType="separate"/>
      </w:r>
      <w:r w:rsidR="00BA37AC">
        <w:rPr>
          <w:noProof/>
        </w:rPr>
        <w:t>6</w:t>
      </w:r>
      <w:r w:rsidRPr="00363B85">
        <w:fldChar w:fldCharType="end"/>
      </w:r>
      <w:bookmarkEnd w:id="13"/>
      <w:r w:rsidRPr="00363B85">
        <w:t xml:space="preserve">: </w:t>
      </w:r>
      <w:proofErr w:type="spellStart"/>
      <w:r w:rsidRPr="00363B85">
        <w:t>Duration</w:t>
      </w:r>
      <w:proofErr w:type="spellEnd"/>
      <w:r w:rsidRPr="00363B85">
        <w:t xml:space="preserve"> de los activos del fondo</w:t>
      </w:r>
    </w:p>
    <w:p w14:paraId="2AD8DB7E" w14:textId="0BACE4A9" w:rsidR="00582C02" w:rsidRDefault="00582C02" w:rsidP="00F976A9">
      <w:pPr>
        <w:tabs>
          <w:tab w:val="left" w:pos="0"/>
          <w:tab w:val="left" w:pos="11160"/>
        </w:tabs>
        <w:spacing w:line="360" w:lineRule="auto"/>
        <w:ind w:right="-1"/>
        <w:jc w:val="both"/>
        <w:rPr>
          <w:rFonts w:ascii="Myriad Pro Light" w:eastAsia="Times New Roman" w:hAnsi="Myriad Pro Light" w:cs="Times New Roman"/>
          <w:bCs/>
          <w:i/>
          <w:color w:val="999999"/>
          <w:sz w:val="16"/>
          <w:szCs w:val="16"/>
          <w:highlight w:val="yellow"/>
          <w:lang w:eastAsia="es-ES"/>
        </w:rPr>
      </w:pPr>
    </w:p>
    <w:p w14:paraId="02CCE91C" w14:textId="5866107A" w:rsidR="00A81034" w:rsidRDefault="00A81034" w:rsidP="00F976A9">
      <w:pPr>
        <w:tabs>
          <w:tab w:val="left" w:pos="0"/>
          <w:tab w:val="left" w:pos="11160"/>
        </w:tabs>
        <w:spacing w:line="360" w:lineRule="auto"/>
        <w:ind w:right="-1"/>
        <w:jc w:val="both"/>
        <w:rPr>
          <w:rFonts w:ascii="Myriad Pro Light" w:eastAsia="Times New Roman" w:hAnsi="Myriad Pro Light" w:cs="Times New Roman"/>
          <w:bCs/>
          <w:i/>
          <w:color w:val="999999"/>
          <w:sz w:val="16"/>
          <w:szCs w:val="16"/>
          <w:highlight w:val="yellow"/>
          <w:lang w:eastAsia="es-ES"/>
        </w:rPr>
      </w:pPr>
    </w:p>
    <w:p w14:paraId="5E9305DB" w14:textId="4D3EC08F" w:rsidR="00A81034" w:rsidRDefault="00A81034" w:rsidP="00F976A9">
      <w:pPr>
        <w:tabs>
          <w:tab w:val="left" w:pos="0"/>
          <w:tab w:val="left" w:pos="11160"/>
        </w:tabs>
        <w:spacing w:line="360" w:lineRule="auto"/>
        <w:ind w:right="-1"/>
        <w:jc w:val="both"/>
        <w:rPr>
          <w:rFonts w:ascii="Myriad Pro Light" w:eastAsia="Times New Roman" w:hAnsi="Myriad Pro Light" w:cs="Times New Roman"/>
          <w:bCs/>
          <w:i/>
          <w:color w:val="999999"/>
          <w:sz w:val="16"/>
          <w:szCs w:val="16"/>
          <w:highlight w:val="yellow"/>
          <w:lang w:eastAsia="es-ES"/>
        </w:rPr>
      </w:pPr>
    </w:p>
    <w:p w14:paraId="7B6E0131" w14:textId="621C5795" w:rsidR="00A81034" w:rsidRDefault="00A81034" w:rsidP="00F976A9">
      <w:pPr>
        <w:tabs>
          <w:tab w:val="left" w:pos="0"/>
          <w:tab w:val="left" w:pos="11160"/>
        </w:tabs>
        <w:spacing w:line="360" w:lineRule="auto"/>
        <w:ind w:right="-1"/>
        <w:jc w:val="both"/>
        <w:rPr>
          <w:rFonts w:ascii="Myriad Pro Light" w:eastAsia="Times New Roman" w:hAnsi="Myriad Pro Light" w:cs="Times New Roman"/>
          <w:bCs/>
          <w:i/>
          <w:color w:val="999999"/>
          <w:sz w:val="16"/>
          <w:szCs w:val="16"/>
          <w:highlight w:val="yellow"/>
          <w:lang w:eastAsia="es-ES"/>
        </w:rPr>
      </w:pPr>
    </w:p>
    <w:p w14:paraId="4D2408EF" w14:textId="77777777" w:rsidR="00582C02" w:rsidRPr="00F863D6" w:rsidRDefault="00582C02" w:rsidP="00F976A9">
      <w:pPr>
        <w:tabs>
          <w:tab w:val="left" w:pos="0"/>
          <w:tab w:val="left" w:pos="11160"/>
        </w:tabs>
        <w:spacing w:line="360" w:lineRule="auto"/>
        <w:ind w:right="-1"/>
        <w:jc w:val="both"/>
        <w:rPr>
          <w:rFonts w:ascii="Myriad Pro Light" w:eastAsia="Times New Roman" w:hAnsi="Myriad Pro Light" w:cs="Times New Roman"/>
          <w:bCs/>
          <w:i/>
          <w:color w:val="999999"/>
          <w:sz w:val="16"/>
          <w:szCs w:val="16"/>
          <w:lang w:eastAsia="es-ES"/>
        </w:rPr>
      </w:pPr>
    </w:p>
    <w:p w14:paraId="00DEBFAB" w14:textId="7A778B2B" w:rsidR="00F976A9" w:rsidRPr="005919FD" w:rsidRDefault="00F976A9" w:rsidP="00F976A9">
      <w:pPr>
        <w:tabs>
          <w:tab w:val="left" w:pos="0"/>
          <w:tab w:val="left" w:pos="11160"/>
        </w:tabs>
        <w:spacing w:line="360" w:lineRule="auto"/>
        <w:ind w:right="-1"/>
        <w:jc w:val="both"/>
        <w:rPr>
          <w:rFonts w:ascii="Myriad Pro Light" w:hAnsi="Myriad Pro Light"/>
        </w:rPr>
      </w:pPr>
      <w:r w:rsidRPr="00F863D6">
        <w:rPr>
          <w:rFonts w:ascii="Myriad Pro Light" w:eastAsia="Times New Roman" w:hAnsi="Myriad Pro Light" w:cs="Times New Roman"/>
          <w:bCs/>
          <w:i/>
          <w:color w:val="999999"/>
          <w:sz w:val="16"/>
          <w:szCs w:val="16"/>
          <w:lang w:eastAsia="es-ES"/>
        </w:rPr>
        <w:lastRenderedPageBreak/>
        <w:t>“La opinión de las entidades clasificadoras no constituye en ningún caso una recomendación para comprar, vender o mantener un determinado instrumento. El análisis no es el resultado de una auditoría practicada al emisor, sino que se basa en información que éste ha hecho pública o ha remitido a la Comisión para el Mercado Financiero y en aquella que ha sido aportada voluntariamente por el emisor, no siendo responsabilidad de la firma evaluadora la verificación de la autenticidad de la misma.”</w:t>
      </w:r>
    </w:p>
    <w:sectPr w:rsidR="00F976A9" w:rsidRPr="005919FD" w:rsidSect="00DE23AE">
      <w:headerReference w:type="even" r:id="rId18"/>
      <w:headerReference w:type="default" r:id="rId19"/>
      <w:footerReference w:type="even" r:id="rId20"/>
      <w:footerReference w:type="default" r:id="rId21"/>
      <w:headerReference w:type="first" r:id="rId22"/>
      <w:footerReference w:type="first" r:id="rId23"/>
      <w:pgSz w:w="12240" w:h="15840"/>
      <w:pgMar w:top="2268" w:right="1247" w:bottom="1531" w:left="1247" w:header="567" w:footer="56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77790" w14:textId="77777777" w:rsidR="00C87468" w:rsidRDefault="00C87468" w:rsidP="00366E6F">
      <w:r>
        <w:separator/>
      </w:r>
    </w:p>
  </w:endnote>
  <w:endnote w:type="continuationSeparator" w:id="0">
    <w:p w14:paraId="44F4F508" w14:textId="77777777" w:rsidR="00C87468" w:rsidRDefault="00C87468" w:rsidP="00366E6F">
      <w:r>
        <w:continuationSeparator/>
      </w:r>
    </w:p>
  </w:endnote>
  <w:endnote w:type="continuationNotice" w:id="1">
    <w:p w14:paraId="4D160BFF" w14:textId="77777777" w:rsidR="00C87468" w:rsidRDefault="00C87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Yu Mincho">
    <w:charset w:val="80"/>
    <w:family w:val="roman"/>
    <w:pitch w:val="variable"/>
    <w:sig w:usb0="800002E7" w:usb1="2AC7FCFF" w:usb2="00000012" w:usb3="00000000" w:csb0="0002009F" w:csb1="00000000"/>
  </w:font>
  <w:font w:name="Myriad Pro Black Semi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9939" w14:textId="77777777" w:rsidR="002776AA" w:rsidRDefault="002776AA" w:rsidP="00366E6F">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2AF8D98E" w14:textId="77777777" w:rsidR="002776AA" w:rsidRDefault="002776AA" w:rsidP="00366E6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yriad Pro Black SemiCond" w:hAnsi="Myriad Pro Black SemiCond"/>
        <w:b/>
        <w:bCs/>
        <w:color w:val="FFFFFF" w:themeColor="background1"/>
      </w:rPr>
      <w:id w:val="-121542592"/>
      <w:docPartObj>
        <w:docPartGallery w:val="Page Numbers (Bottom of Page)"/>
        <w:docPartUnique/>
      </w:docPartObj>
    </w:sdtPr>
    <w:sdtEndPr>
      <w:rPr>
        <w:rStyle w:val="Nmerodepgina"/>
      </w:rPr>
    </w:sdtEndPr>
    <w:sdtContent>
      <w:p w14:paraId="5F8E387B" w14:textId="77777777" w:rsidR="002776AA" w:rsidRPr="00366E6F" w:rsidRDefault="002776AA" w:rsidP="00366E6F">
        <w:pPr>
          <w:framePr w:wrap="none" w:vAnchor="text" w:hAnchor="page" w:x="11298" w:y="9"/>
          <w:rPr>
            <w:rStyle w:val="Nmerodepgina"/>
            <w:rFonts w:ascii="Myriad Pro Black SemiCond" w:hAnsi="Myriad Pro Black SemiCond"/>
            <w:b/>
            <w:bCs/>
            <w:color w:val="FFFFFF" w:themeColor="background1"/>
          </w:rPr>
        </w:pPr>
        <w:r w:rsidRPr="00366E6F">
          <w:rPr>
            <w:rStyle w:val="Nmerodepgina"/>
            <w:rFonts w:ascii="Myriad Pro Black SemiCond" w:hAnsi="Myriad Pro Black SemiCond"/>
            <w:b/>
            <w:bCs/>
            <w:color w:val="FFFFFF" w:themeColor="background1"/>
          </w:rPr>
          <w:fldChar w:fldCharType="begin"/>
        </w:r>
        <w:r w:rsidRPr="00366E6F">
          <w:rPr>
            <w:rStyle w:val="Nmerodepgina"/>
            <w:rFonts w:ascii="Myriad Pro Black SemiCond" w:hAnsi="Myriad Pro Black SemiCond"/>
            <w:b/>
            <w:bCs/>
            <w:color w:val="FFFFFF" w:themeColor="background1"/>
          </w:rPr>
          <w:instrText xml:space="preserve"> PAGE </w:instrText>
        </w:r>
        <w:r w:rsidRPr="00366E6F">
          <w:rPr>
            <w:rStyle w:val="Nmerodepgina"/>
            <w:rFonts w:ascii="Myriad Pro Black SemiCond" w:hAnsi="Myriad Pro Black SemiCond"/>
            <w:b/>
            <w:bCs/>
            <w:color w:val="FFFFFF" w:themeColor="background1"/>
          </w:rPr>
          <w:fldChar w:fldCharType="separate"/>
        </w:r>
        <w:r w:rsidRPr="00366E6F">
          <w:rPr>
            <w:rStyle w:val="Nmerodepgina"/>
            <w:rFonts w:ascii="Myriad Pro Black SemiCond" w:hAnsi="Myriad Pro Black SemiCond"/>
            <w:b/>
            <w:bCs/>
            <w:noProof/>
            <w:color w:val="FFFFFF" w:themeColor="background1"/>
          </w:rPr>
          <w:t>1</w:t>
        </w:r>
        <w:r w:rsidRPr="00366E6F">
          <w:rPr>
            <w:rStyle w:val="Nmerodepgina"/>
            <w:rFonts w:ascii="Myriad Pro Black SemiCond" w:hAnsi="Myriad Pro Black SemiCond"/>
            <w:b/>
            <w:bCs/>
            <w:color w:val="FFFFFF" w:themeColor="background1"/>
          </w:rPr>
          <w:fldChar w:fldCharType="end"/>
        </w:r>
      </w:p>
    </w:sdtContent>
  </w:sdt>
  <w:sdt>
    <w:sdtPr>
      <w:rPr>
        <w:rStyle w:val="Nmerodepgina"/>
      </w:rPr>
      <w:id w:val="683864722"/>
      <w:docPartObj>
        <w:docPartGallery w:val="Page Numbers (Top of Page)"/>
        <w:docPartUnique/>
      </w:docPartObj>
    </w:sdtPr>
    <w:sdtEndPr>
      <w:rPr>
        <w:rStyle w:val="Nmerodepgina"/>
      </w:rPr>
    </w:sdtEndPr>
    <w:sdtContent>
      <w:p w14:paraId="434A3097" w14:textId="77777777" w:rsidR="00DE23AE" w:rsidRDefault="00DE23AE" w:rsidP="00DE23AE">
        <w:pPr>
          <w:pStyle w:val="Encabezado"/>
          <w:framePr w:w="799" w:h="399" w:hRule="exact" w:wrap="none" w:vAnchor="text" w:hAnchor="page" w:x="10613" w:y="-37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6E19B4C0" w14:textId="566F4063" w:rsidR="002776AA" w:rsidRDefault="002776AA" w:rsidP="00366E6F">
    <w:pPr>
      <w:ind w:right="360"/>
    </w:pPr>
    <w:r w:rsidRPr="00B33A29">
      <w:rPr>
        <w:noProof/>
      </w:rPr>
      <w:drawing>
        <wp:anchor distT="0" distB="0" distL="114300" distR="114300" simplePos="0" relativeHeight="251658241" behindDoc="1" locked="0" layoutInCell="1" allowOverlap="1" wp14:anchorId="34BCEB02" wp14:editId="4E906904">
          <wp:simplePos x="0" y="0"/>
          <wp:positionH relativeFrom="column">
            <wp:posOffset>-362267</wp:posOffset>
          </wp:positionH>
          <wp:positionV relativeFrom="paragraph">
            <wp:posOffset>-224790</wp:posOffset>
          </wp:positionV>
          <wp:extent cx="5829300" cy="534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829300" cy="5340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8C86" w14:textId="2A0007C5" w:rsidR="002776AA" w:rsidRDefault="002776AA">
    <w:pPr>
      <w:pStyle w:val="Piedepgina"/>
    </w:pPr>
    <w:r w:rsidRPr="00B33A29">
      <w:rPr>
        <w:noProof/>
      </w:rPr>
      <w:drawing>
        <wp:anchor distT="0" distB="0" distL="114300" distR="114300" simplePos="0" relativeHeight="251658244" behindDoc="1" locked="0" layoutInCell="1" allowOverlap="1" wp14:anchorId="4F8118C6" wp14:editId="46FEF56D">
          <wp:simplePos x="0" y="0"/>
          <wp:positionH relativeFrom="margin">
            <wp:posOffset>-432435</wp:posOffset>
          </wp:positionH>
          <wp:positionV relativeFrom="margin">
            <wp:posOffset>7814945</wp:posOffset>
          </wp:positionV>
          <wp:extent cx="5817600" cy="532800"/>
          <wp:effectExtent l="0" t="0" r="0" b="635"/>
          <wp:wrapSquare wrapText="bothSides"/>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817600" cy="53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EB8E5" w14:textId="77777777" w:rsidR="00C87468" w:rsidRDefault="00C87468" w:rsidP="00366E6F">
      <w:r>
        <w:separator/>
      </w:r>
    </w:p>
  </w:footnote>
  <w:footnote w:type="continuationSeparator" w:id="0">
    <w:p w14:paraId="72B5E696" w14:textId="77777777" w:rsidR="00C87468" w:rsidRDefault="00C87468" w:rsidP="00366E6F">
      <w:r>
        <w:continuationSeparator/>
      </w:r>
    </w:p>
  </w:footnote>
  <w:footnote w:type="continuationNotice" w:id="1">
    <w:p w14:paraId="2CB5D53A" w14:textId="77777777" w:rsidR="00C87468" w:rsidRDefault="00C87468"/>
  </w:footnote>
  <w:footnote w:id="2">
    <w:p w14:paraId="7D87AEDE" w14:textId="4B9D5372" w:rsidR="00370E28" w:rsidRPr="0095196B" w:rsidRDefault="00370E28" w:rsidP="007F755B">
      <w:pPr>
        <w:pStyle w:val="Textonotapie"/>
        <w:jc w:val="both"/>
        <w:rPr>
          <w:rFonts w:ascii="Myriad Pro" w:hAnsi="Myriad Pro"/>
          <w:sz w:val="16"/>
          <w:szCs w:val="16"/>
        </w:rPr>
      </w:pPr>
      <w:r w:rsidRPr="00350D60">
        <w:rPr>
          <w:rFonts w:ascii="Myriad Pro" w:eastAsiaTheme="minorHAnsi" w:hAnsi="Myriad Pro" w:cstheme="minorBidi"/>
          <w:sz w:val="16"/>
          <w:szCs w:val="16"/>
          <w:vertAlign w:val="superscript"/>
          <w:lang w:val="es-CL" w:eastAsia="en-US"/>
        </w:rPr>
        <w:footnoteRef/>
      </w:r>
      <w:r w:rsidRPr="00350D60">
        <w:rPr>
          <w:rFonts w:ascii="Myriad Pro" w:eastAsiaTheme="minorHAnsi" w:hAnsi="Myriad Pro" w:cstheme="minorBidi"/>
          <w:sz w:val="16"/>
          <w:szCs w:val="16"/>
          <w:lang w:val="es-CL" w:eastAsia="en-US"/>
        </w:rPr>
        <w:t xml:space="preserve"> Corresponde a los últimos EEFF disponibles. Complementariamente, el análisis considera información proporcionada a la CMF al cierre de </w:t>
      </w:r>
      <w:r w:rsidR="00DA6A14" w:rsidRPr="00350D60">
        <w:rPr>
          <w:rFonts w:ascii="Myriad Pro" w:eastAsiaTheme="minorHAnsi" w:hAnsi="Myriad Pro" w:cstheme="minorBidi"/>
          <w:sz w:val="16"/>
          <w:szCs w:val="16"/>
          <w:lang w:val="es-CL" w:eastAsia="en-US"/>
        </w:rPr>
        <w:t>noviembre</w:t>
      </w:r>
      <w:r w:rsidR="00225D09" w:rsidRPr="00350D60">
        <w:rPr>
          <w:rFonts w:ascii="Myriad Pro" w:eastAsiaTheme="minorHAnsi" w:hAnsi="Myriad Pro" w:cstheme="minorBidi"/>
          <w:sz w:val="16"/>
          <w:szCs w:val="16"/>
          <w:lang w:val="es-CL" w:eastAsia="en-US"/>
        </w:rPr>
        <w:t xml:space="preserve"> </w:t>
      </w:r>
      <w:r w:rsidRPr="00350D60">
        <w:rPr>
          <w:rFonts w:ascii="Myriad Pro" w:eastAsiaTheme="minorHAnsi" w:hAnsi="Myriad Pro" w:cstheme="minorBidi"/>
          <w:sz w:val="16"/>
          <w:szCs w:val="16"/>
          <w:lang w:val="es-CL" w:eastAsia="en-US"/>
        </w:rPr>
        <w:t>de 202</w:t>
      </w:r>
      <w:r w:rsidR="00DA6A14" w:rsidRPr="00350D60">
        <w:rPr>
          <w:rFonts w:ascii="Myriad Pro" w:eastAsiaTheme="minorHAnsi" w:hAnsi="Myriad Pro" w:cstheme="minorBidi"/>
          <w:sz w:val="16"/>
          <w:szCs w:val="16"/>
          <w:lang w:val="es-CL" w:eastAsia="en-US"/>
        </w:rPr>
        <w:t>2</w:t>
      </w:r>
      <w:r w:rsidRPr="00350D60">
        <w:rPr>
          <w:rFonts w:ascii="Myriad Pro" w:eastAsiaTheme="minorHAnsi" w:hAnsi="Myriad Pro" w:cstheme="minorBidi"/>
          <w:sz w:val="16"/>
          <w:szCs w:val="16"/>
          <w:lang w:val="es-CL" w:eastAsia="en-US"/>
        </w:rPr>
        <w:t xml:space="preserve"> (cartera de inversiones, valor cuota).</w:t>
      </w:r>
    </w:p>
  </w:footnote>
  <w:footnote w:id="3">
    <w:p w14:paraId="4E569FDD" w14:textId="0EF269D0" w:rsidR="00155D84" w:rsidRPr="0095196B" w:rsidRDefault="00155D84">
      <w:pPr>
        <w:pStyle w:val="Textonotapie"/>
        <w:rPr>
          <w:rFonts w:ascii="Myriad Pro" w:hAnsi="Myriad Pro"/>
          <w:sz w:val="16"/>
          <w:szCs w:val="16"/>
          <w:lang w:val="es-CL"/>
        </w:rPr>
      </w:pPr>
      <w:r w:rsidRPr="0095196B">
        <w:rPr>
          <w:rStyle w:val="Refdenotaalpie"/>
          <w:rFonts w:ascii="Myriad Pro" w:hAnsi="Myriad Pro"/>
          <w:sz w:val="16"/>
          <w:szCs w:val="16"/>
        </w:rPr>
        <w:footnoteRef/>
      </w:r>
      <w:r w:rsidRPr="0095196B">
        <w:rPr>
          <w:rFonts w:ascii="Myriad Pro" w:hAnsi="Myriad Pro"/>
          <w:sz w:val="16"/>
          <w:szCs w:val="16"/>
        </w:rPr>
        <w:t xml:space="preserve"> </w:t>
      </w:r>
      <w:r w:rsidR="0041337F" w:rsidRPr="00350D60">
        <w:rPr>
          <w:rFonts w:ascii="Myriad Pro" w:hAnsi="Myriad Pro"/>
          <w:sz w:val="16"/>
          <w:szCs w:val="16"/>
          <w:lang w:val="es-CL"/>
        </w:rPr>
        <w:t>Inversiones</w:t>
      </w:r>
      <w:r w:rsidR="0041337F" w:rsidRPr="0095196B">
        <w:rPr>
          <w:rFonts w:ascii="Myriad Pro" w:hAnsi="Myriad Pro"/>
          <w:sz w:val="16"/>
          <w:szCs w:val="16"/>
        </w:rPr>
        <w:t xml:space="preserve"> </w:t>
      </w:r>
      <w:r w:rsidRPr="00350D60">
        <w:rPr>
          <w:rFonts w:ascii="Myriad Pro" w:hAnsi="Myriad Pro"/>
          <w:sz w:val="16"/>
          <w:szCs w:val="16"/>
          <w:lang w:val="es-CL"/>
        </w:rPr>
        <w:t>Nacional</w:t>
      </w:r>
      <w:r w:rsidR="0041337F" w:rsidRPr="00350D60">
        <w:rPr>
          <w:rFonts w:ascii="Myriad Pro" w:hAnsi="Myriad Pro"/>
          <w:sz w:val="16"/>
          <w:szCs w:val="16"/>
          <w:lang w:val="es-CL"/>
        </w:rPr>
        <w:t>es</w:t>
      </w:r>
      <w:r w:rsidR="007F755B">
        <w:rPr>
          <w:rFonts w:ascii="Myriad Pro" w:hAnsi="Myriad Pro"/>
          <w:sz w:val="16"/>
          <w:szCs w:val="16"/>
          <w:lang w:val="es-CL"/>
        </w:rPr>
        <w:t>.</w:t>
      </w:r>
    </w:p>
  </w:footnote>
  <w:footnote w:id="4">
    <w:p w14:paraId="601E639C" w14:textId="18B8435D" w:rsidR="002A7339" w:rsidRPr="006D3E92" w:rsidRDefault="002A7339">
      <w:pPr>
        <w:pStyle w:val="Textonotapie"/>
        <w:rPr>
          <w:rFonts w:ascii="Myriad Pro" w:hAnsi="Myriad Pro"/>
          <w:sz w:val="16"/>
          <w:szCs w:val="16"/>
        </w:rPr>
      </w:pPr>
      <w:r w:rsidRPr="006D3E92">
        <w:rPr>
          <w:rFonts w:ascii="Myriad Pro" w:eastAsiaTheme="minorHAnsi" w:hAnsi="Myriad Pro" w:cstheme="minorBidi"/>
          <w:sz w:val="16"/>
          <w:szCs w:val="16"/>
          <w:vertAlign w:val="superscript"/>
          <w:lang w:val="es-CL" w:eastAsia="en-US"/>
        </w:rPr>
        <w:footnoteRef/>
      </w:r>
      <w:r w:rsidRPr="006D3E92">
        <w:rPr>
          <w:rFonts w:ascii="Myriad Pro" w:eastAsiaTheme="minorHAnsi" w:hAnsi="Myriad Pro" w:cstheme="minorBidi"/>
          <w:sz w:val="16"/>
          <w:szCs w:val="16"/>
          <w:lang w:val="es-CL" w:eastAsia="en-US"/>
        </w:rPr>
        <w:t xml:space="preserve"> La clasificación de riesgo para este tipo de fondos mutuos va desde M1 a M6.</w:t>
      </w:r>
    </w:p>
  </w:footnote>
  <w:footnote w:id="5">
    <w:p w14:paraId="38A967AA" w14:textId="77777777" w:rsidR="00137770" w:rsidRPr="00541D54" w:rsidRDefault="00137770" w:rsidP="00137770">
      <w:pPr>
        <w:pStyle w:val="Textonotapie"/>
        <w:rPr>
          <w:rFonts w:ascii="Myriad Pro" w:hAnsi="Myriad Pro"/>
          <w:sz w:val="16"/>
          <w:szCs w:val="16"/>
        </w:rPr>
      </w:pPr>
      <w:r w:rsidRPr="00541D54">
        <w:rPr>
          <w:rStyle w:val="Refdenotaalpie"/>
          <w:rFonts w:ascii="Myriad Pro" w:hAnsi="Myriad Pro"/>
          <w:sz w:val="16"/>
          <w:szCs w:val="16"/>
        </w:rPr>
        <w:footnoteRef/>
      </w:r>
      <w:r w:rsidRPr="00541D54">
        <w:rPr>
          <w:rFonts w:ascii="Myriad Pro" w:hAnsi="Myriad Pro"/>
          <w:sz w:val="16"/>
          <w:szCs w:val="16"/>
        </w:rPr>
        <w:t xml:space="preserve"> Incluye las modificaciones introducidas por el Acuerdo </w:t>
      </w:r>
      <w:proofErr w:type="spellStart"/>
      <w:r w:rsidRPr="00541D54">
        <w:rPr>
          <w:rFonts w:ascii="Myriad Pro" w:hAnsi="Myriad Pro"/>
          <w:sz w:val="16"/>
          <w:szCs w:val="16"/>
        </w:rPr>
        <w:t>N</w:t>
      </w:r>
      <w:r>
        <w:rPr>
          <w:rFonts w:ascii="Myriad Pro" w:hAnsi="Myriad Pro"/>
          <w:sz w:val="16"/>
          <w:szCs w:val="16"/>
        </w:rPr>
        <w:t>°</w:t>
      </w:r>
      <w:proofErr w:type="spellEnd"/>
      <w:r w:rsidRPr="00541D54">
        <w:rPr>
          <w:rFonts w:ascii="Myriad Pro" w:hAnsi="Myriad Pro"/>
          <w:sz w:val="16"/>
          <w:szCs w:val="16"/>
        </w:rPr>
        <w:t xml:space="preserve"> 34 de 2010, el Acuerdo </w:t>
      </w:r>
      <w:proofErr w:type="spellStart"/>
      <w:r w:rsidRPr="00541D54">
        <w:rPr>
          <w:rFonts w:ascii="Myriad Pro" w:hAnsi="Myriad Pro"/>
          <w:sz w:val="16"/>
          <w:szCs w:val="16"/>
        </w:rPr>
        <w:t>N</w:t>
      </w:r>
      <w:r>
        <w:rPr>
          <w:rFonts w:ascii="Myriad Pro" w:hAnsi="Myriad Pro"/>
          <w:sz w:val="16"/>
          <w:szCs w:val="16"/>
        </w:rPr>
        <w:t>°</w:t>
      </w:r>
      <w:proofErr w:type="spellEnd"/>
      <w:r w:rsidRPr="00541D54">
        <w:rPr>
          <w:rFonts w:ascii="Myriad Pro" w:hAnsi="Myriad Pro"/>
          <w:sz w:val="16"/>
          <w:szCs w:val="16"/>
        </w:rPr>
        <w:t xml:space="preserve"> 35 de 2010, el Acuerdo </w:t>
      </w:r>
      <w:proofErr w:type="spellStart"/>
      <w:r w:rsidRPr="00541D54">
        <w:rPr>
          <w:rFonts w:ascii="Myriad Pro" w:hAnsi="Myriad Pro"/>
          <w:sz w:val="16"/>
          <w:szCs w:val="16"/>
        </w:rPr>
        <w:t>N</w:t>
      </w:r>
      <w:r>
        <w:rPr>
          <w:rFonts w:ascii="Myriad Pro" w:hAnsi="Myriad Pro"/>
          <w:sz w:val="16"/>
          <w:szCs w:val="16"/>
        </w:rPr>
        <w:t>°</w:t>
      </w:r>
      <w:proofErr w:type="spellEnd"/>
      <w:r w:rsidRPr="00541D54">
        <w:rPr>
          <w:rFonts w:ascii="Myriad Pro" w:hAnsi="Myriad Pro"/>
          <w:sz w:val="16"/>
          <w:szCs w:val="16"/>
        </w:rPr>
        <w:t xml:space="preserve"> 36 de 2013, el Acuerdo </w:t>
      </w:r>
      <w:proofErr w:type="spellStart"/>
      <w:r w:rsidRPr="00541D54">
        <w:rPr>
          <w:rFonts w:ascii="Myriad Pro" w:hAnsi="Myriad Pro"/>
          <w:sz w:val="16"/>
          <w:szCs w:val="16"/>
        </w:rPr>
        <w:t>N</w:t>
      </w:r>
      <w:r>
        <w:rPr>
          <w:rFonts w:ascii="Myriad Pro" w:hAnsi="Myriad Pro"/>
          <w:sz w:val="16"/>
          <w:szCs w:val="16"/>
        </w:rPr>
        <w:t>°</w:t>
      </w:r>
      <w:proofErr w:type="spellEnd"/>
      <w:r w:rsidRPr="00541D54">
        <w:rPr>
          <w:rFonts w:ascii="Myriad Pro" w:hAnsi="Myriad Pro"/>
          <w:sz w:val="16"/>
          <w:szCs w:val="16"/>
        </w:rPr>
        <w:t xml:space="preserve"> 38 de 2013, el Acuerdo </w:t>
      </w:r>
      <w:proofErr w:type="spellStart"/>
      <w:r w:rsidRPr="00541D54">
        <w:rPr>
          <w:rFonts w:ascii="Myriad Pro" w:hAnsi="Myriad Pro"/>
          <w:sz w:val="16"/>
          <w:szCs w:val="16"/>
        </w:rPr>
        <w:t>N</w:t>
      </w:r>
      <w:r>
        <w:rPr>
          <w:rFonts w:ascii="Myriad Pro" w:hAnsi="Myriad Pro"/>
          <w:sz w:val="16"/>
          <w:szCs w:val="16"/>
        </w:rPr>
        <w:t>°</w:t>
      </w:r>
      <w:proofErr w:type="spellEnd"/>
      <w:r w:rsidRPr="00541D54">
        <w:rPr>
          <w:rFonts w:ascii="Myriad Pro" w:hAnsi="Myriad Pro"/>
          <w:sz w:val="16"/>
          <w:szCs w:val="16"/>
        </w:rPr>
        <w:t xml:space="preserve"> 39 de 2014 y el Acuerdo </w:t>
      </w:r>
      <w:proofErr w:type="spellStart"/>
      <w:r w:rsidRPr="00541D54">
        <w:rPr>
          <w:rFonts w:ascii="Myriad Pro" w:hAnsi="Myriad Pro"/>
          <w:sz w:val="16"/>
          <w:szCs w:val="16"/>
        </w:rPr>
        <w:t>N</w:t>
      </w:r>
      <w:r>
        <w:rPr>
          <w:rFonts w:ascii="Myriad Pro" w:hAnsi="Myriad Pro"/>
          <w:sz w:val="16"/>
          <w:szCs w:val="16"/>
        </w:rPr>
        <w:t>°</w:t>
      </w:r>
      <w:proofErr w:type="spellEnd"/>
      <w:r w:rsidRPr="00541D54">
        <w:rPr>
          <w:rFonts w:ascii="Myriad Pro" w:hAnsi="Myriad Pro"/>
          <w:sz w:val="16"/>
          <w:szCs w:val="16"/>
        </w:rPr>
        <w:t xml:space="preserve"> 44 de 2017.</w:t>
      </w:r>
    </w:p>
  </w:footnote>
  <w:footnote w:id="6">
    <w:p w14:paraId="570F17D0" w14:textId="77777777" w:rsidR="00A20C55" w:rsidRPr="00EE3017" w:rsidRDefault="00A20C55" w:rsidP="00A20C55">
      <w:pPr>
        <w:pStyle w:val="Textonotapie"/>
        <w:ind w:left="142" w:hanging="142"/>
        <w:rPr>
          <w:rFonts w:ascii="Myriad Pro" w:hAnsi="Myriad Pro"/>
          <w:sz w:val="16"/>
          <w:szCs w:val="16"/>
        </w:rPr>
      </w:pPr>
      <w:r w:rsidRPr="00EE3017">
        <w:rPr>
          <w:rStyle w:val="Refdenotaalpie"/>
          <w:rFonts w:ascii="Myriad Pro" w:hAnsi="Myriad Pro"/>
          <w:sz w:val="16"/>
          <w:szCs w:val="16"/>
        </w:rPr>
        <w:footnoteRef/>
      </w:r>
      <w:r w:rsidRPr="00EE3017">
        <w:rPr>
          <w:rFonts w:ascii="Myriad Pro" w:hAnsi="Myriad Pro"/>
          <w:sz w:val="16"/>
          <w:szCs w:val="16"/>
        </w:rPr>
        <w:t xml:space="preserve"> </w:t>
      </w:r>
      <w:proofErr w:type="spellStart"/>
      <w:r w:rsidRPr="00EE3017">
        <w:rPr>
          <w:rFonts w:ascii="Myriad Pro" w:hAnsi="Myriad Pro"/>
          <w:sz w:val="16"/>
          <w:szCs w:val="16"/>
        </w:rPr>
        <w:t>RiskAmerica</w:t>
      </w:r>
      <w:proofErr w:type="spellEnd"/>
      <w:r w:rsidRPr="00EE3017">
        <w:rPr>
          <w:rFonts w:ascii="Myriad Pro" w:hAnsi="Myriad Pro"/>
          <w:sz w:val="16"/>
          <w:szCs w:val="16"/>
        </w:rPr>
        <w:t>, desarrollado por una entidad independiente que cuenta con el respaldo académico de la Pontificia Universidad Católica de Chile, provee Ingeniería Financiera basada en investigación para la valorización y gestión del riesgo.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13D5A" w14:textId="6DE1E50C" w:rsidR="00DE23AE" w:rsidRDefault="00DE23AE" w:rsidP="007E0792">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01300C52" w14:textId="77777777" w:rsidR="00DE23AE" w:rsidRDefault="00DE23AE" w:rsidP="00DE23AE">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9471" w14:textId="2C713003" w:rsidR="002776AA" w:rsidRPr="00EC6119" w:rsidRDefault="002776AA" w:rsidP="002D51BC">
    <w:pPr>
      <w:tabs>
        <w:tab w:val="left" w:pos="1440"/>
      </w:tabs>
      <w:ind w:right="360"/>
      <w:jc w:val="right"/>
      <w:rPr>
        <w:b/>
        <w:smallCaps/>
        <w:color w:val="AE1619"/>
      </w:rPr>
    </w:pPr>
    <w:r>
      <w:rPr>
        <w:noProof/>
      </w:rPr>
      <mc:AlternateContent>
        <mc:Choice Requires="wps">
          <w:drawing>
            <wp:anchor distT="0" distB="0" distL="114300" distR="114300" simplePos="0" relativeHeight="251658245" behindDoc="0" locked="0" layoutInCell="1" allowOverlap="1" wp14:anchorId="1CDC7BDF" wp14:editId="5E8A812A">
              <wp:simplePos x="0" y="0"/>
              <wp:positionH relativeFrom="column">
                <wp:posOffset>-800735</wp:posOffset>
              </wp:positionH>
              <wp:positionV relativeFrom="paragraph">
                <wp:posOffset>-448945</wp:posOffset>
              </wp:positionV>
              <wp:extent cx="381000" cy="1320800"/>
              <wp:effectExtent l="0" t="0" r="0" b="0"/>
              <wp:wrapNone/>
              <wp:docPr id="18" name="Rectángulo 18"/>
              <wp:cNvGraphicFramePr/>
              <a:graphic xmlns:a="http://schemas.openxmlformats.org/drawingml/2006/main">
                <a:graphicData uri="http://schemas.microsoft.com/office/word/2010/wordprocessingShape">
                  <wps:wsp>
                    <wps:cNvSpPr/>
                    <wps:spPr>
                      <a:xfrm>
                        <a:off x="0" y="0"/>
                        <a:ext cx="381000" cy="1320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02827" id="Rectángulo 18" o:spid="_x0000_s1026" style="position:absolute;margin-left:-63.05pt;margin-top:-35.35pt;width:30pt;height:1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" fillcolor="#c00000" stroked="f" strokeweight="1pt"/>
          </w:pict>
        </mc:Fallback>
      </mc:AlternateContent>
    </w:r>
    <w:r w:rsidRPr="00D269FC">
      <w:rPr>
        <w:noProof/>
      </w:rPr>
      <w:drawing>
        <wp:anchor distT="0" distB="0" distL="114300" distR="114300" simplePos="0" relativeHeight="251658242" behindDoc="1" locked="1" layoutInCell="1" allowOverlap="1" wp14:anchorId="71D7DE40" wp14:editId="435EAB83">
          <wp:simplePos x="0" y="0"/>
          <wp:positionH relativeFrom="margin">
            <wp:posOffset>4537710</wp:posOffset>
          </wp:positionH>
          <wp:positionV relativeFrom="margin">
            <wp:posOffset>6001385</wp:posOffset>
          </wp:positionV>
          <wp:extent cx="2585085" cy="2790825"/>
          <wp:effectExtent l="0" t="0" r="5715" b="3175"/>
          <wp:wrapNone/>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
                    <a:extLst>
                      <a:ext uri="{28A0092B-C50C-407E-A947-70E740481C1C}">
                        <a14:useLocalDpi xmlns:a14="http://schemas.microsoft.com/office/drawing/2010/main" val="0"/>
                      </a:ext>
                    </a:extLst>
                  </a:blip>
                  <a:srcRect l="9682" t="11225" r="19116" b="12418"/>
                  <a:stretch/>
                </pic:blipFill>
                <pic:spPr bwMode="auto">
                  <a:xfrm>
                    <a:off x="0" y="0"/>
                    <a:ext cx="258508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E6F">
      <w:rPr>
        <w:noProof/>
      </w:rPr>
      <w:drawing>
        <wp:anchor distT="0" distB="0" distL="114300" distR="114300" simplePos="0" relativeHeight="251658240" behindDoc="1" locked="1" layoutInCell="1" allowOverlap="0" wp14:anchorId="082CF3B1" wp14:editId="69247144">
          <wp:simplePos x="0" y="0"/>
          <wp:positionH relativeFrom="margin">
            <wp:posOffset>-393700</wp:posOffset>
          </wp:positionH>
          <wp:positionV relativeFrom="page">
            <wp:posOffset>166370</wp:posOffset>
          </wp:positionV>
          <wp:extent cx="2537460" cy="870585"/>
          <wp:effectExtent l="0" t="0" r="254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537460" cy="87058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9017" w14:textId="24D1E87E" w:rsidR="00DE23AE" w:rsidRDefault="00DE23AE" w:rsidP="007E0792">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p w14:paraId="3D720093" w14:textId="559FFC5A" w:rsidR="002776AA" w:rsidRDefault="00E10DEB" w:rsidP="00DE23AE">
    <w:pPr>
      <w:pStyle w:val="Encabezado"/>
      <w:ind w:right="360"/>
    </w:pPr>
    <w:r w:rsidRPr="00366E6F">
      <w:rPr>
        <w:noProof/>
      </w:rPr>
      <w:drawing>
        <wp:anchor distT="0" distB="0" distL="114300" distR="114300" simplePos="0" relativeHeight="251658246" behindDoc="1" locked="1" layoutInCell="1" allowOverlap="0" wp14:anchorId="75A0F749" wp14:editId="505D635A">
          <wp:simplePos x="0" y="0"/>
          <wp:positionH relativeFrom="margin">
            <wp:posOffset>-15240</wp:posOffset>
          </wp:positionH>
          <wp:positionV relativeFrom="page">
            <wp:posOffset>330200</wp:posOffset>
          </wp:positionV>
          <wp:extent cx="4100195" cy="1407160"/>
          <wp:effectExtent l="0" t="0" r="1905"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100195" cy="1407160"/>
                  </a:xfrm>
                  <a:prstGeom prst="rect">
                    <a:avLst/>
                  </a:prstGeom>
                </pic:spPr>
              </pic:pic>
            </a:graphicData>
          </a:graphic>
          <wp14:sizeRelH relativeFrom="page">
            <wp14:pctWidth>0</wp14:pctWidth>
          </wp14:sizeRelH>
          <wp14:sizeRelV relativeFrom="page">
            <wp14:pctHeight>0</wp14:pctHeight>
          </wp14:sizeRelV>
        </wp:anchor>
      </w:drawing>
    </w:r>
    <w:r w:rsidR="002776AA" w:rsidRPr="00366E6F">
      <w:rPr>
        <w:noProof/>
      </w:rPr>
      <mc:AlternateContent>
        <mc:Choice Requires="wps">
          <w:drawing>
            <wp:anchor distT="0" distB="0" distL="114300" distR="114300" simplePos="0" relativeHeight="251658243" behindDoc="1" locked="1" layoutInCell="1" allowOverlap="1" wp14:anchorId="7736C5AE" wp14:editId="007BE537">
              <wp:simplePos x="0" y="0"/>
              <wp:positionH relativeFrom="margin">
                <wp:posOffset>4712335</wp:posOffset>
              </wp:positionH>
              <wp:positionV relativeFrom="margin">
                <wp:posOffset>-1463675</wp:posOffset>
              </wp:positionV>
              <wp:extent cx="2286000" cy="10072370"/>
              <wp:effectExtent l="0" t="0" r="0" b="0"/>
              <wp:wrapSquare wrapText="bothSides"/>
              <wp:docPr id="9" name="Rectá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0" cy="10072370"/>
                      </a:xfrm>
                      <a:prstGeom prst="rect">
                        <a:avLst/>
                      </a:prstGeom>
                      <a:gradFill>
                        <a:gsLst>
                          <a:gs pos="0">
                            <a:srgbClr val="C33438"/>
                          </a:gs>
                          <a:gs pos="52000">
                            <a:srgbClr val="CB0204"/>
                          </a:gs>
                          <a:gs pos="100000">
                            <a:srgbClr val="C33438"/>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BB8AB" id="Rectángulo 9" o:spid="_x0000_s1026" style="position:absolute;margin-left:371.05pt;margin-top:-115.25pt;width:180pt;height:793.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" fillcolor="#c33438" stroked="f" strokeweight="1pt">
              <v:fill color2="#cb0204" focus="52%" type="gradient"/>
              <o:lock v:ext="edit" aspectratio="t"/>
              <w10:wrap type="square"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020D2"/>
    <w:multiLevelType w:val="hybridMultilevel"/>
    <w:tmpl w:val="A1606B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EF7B2A"/>
    <w:multiLevelType w:val="hybridMultilevel"/>
    <w:tmpl w:val="7E2E41A8"/>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20878A2"/>
    <w:multiLevelType w:val="hybridMultilevel"/>
    <w:tmpl w:val="735899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3387919"/>
    <w:multiLevelType w:val="hybridMultilevel"/>
    <w:tmpl w:val="3A88D03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3D79B1"/>
    <w:multiLevelType w:val="hybridMultilevel"/>
    <w:tmpl w:val="93048D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0DC566C"/>
    <w:multiLevelType w:val="hybridMultilevel"/>
    <w:tmpl w:val="738636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5D2236F"/>
    <w:multiLevelType w:val="hybridMultilevel"/>
    <w:tmpl w:val="3FDA05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4CA7A0D"/>
    <w:multiLevelType w:val="hybridMultilevel"/>
    <w:tmpl w:val="FFFFFFFF"/>
    <w:lvl w:ilvl="0" w:tplc="3190CA24">
      <w:start w:val="1"/>
      <w:numFmt w:val="bullet"/>
      <w:lvlText w:val=""/>
      <w:lvlJc w:val="left"/>
      <w:pPr>
        <w:ind w:left="720" w:hanging="360"/>
      </w:pPr>
      <w:rPr>
        <w:rFonts w:ascii="Symbol" w:hAnsi="Symbol" w:hint="default"/>
      </w:rPr>
    </w:lvl>
    <w:lvl w:ilvl="1" w:tplc="4D729E3C">
      <w:start w:val="1"/>
      <w:numFmt w:val="bullet"/>
      <w:lvlText w:val="o"/>
      <w:lvlJc w:val="left"/>
      <w:pPr>
        <w:ind w:left="1440" w:hanging="360"/>
      </w:pPr>
      <w:rPr>
        <w:rFonts w:ascii="Courier New" w:hAnsi="Courier New" w:hint="default"/>
      </w:rPr>
    </w:lvl>
    <w:lvl w:ilvl="2" w:tplc="1428A178">
      <w:start w:val="1"/>
      <w:numFmt w:val="bullet"/>
      <w:lvlText w:val=""/>
      <w:lvlJc w:val="left"/>
      <w:pPr>
        <w:ind w:left="2160" w:hanging="360"/>
      </w:pPr>
      <w:rPr>
        <w:rFonts w:ascii="Wingdings" w:hAnsi="Wingdings" w:hint="default"/>
      </w:rPr>
    </w:lvl>
    <w:lvl w:ilvl="3" w:tplc="0C2C4F1A">
      <w:start w:val="1"/>
      <w:numFmt w:val="bullet"/>
      <w:lvlText w:val=""/>
      <w:lvlJc w:val="left"/>
      <w:pPr>
        <w:ind w:left="2880" w:hanging="360"/>
      </w:pPr>
      <w:rPr>
        <w:rFonts w:ascii="Symbol" w:hAnsi="Symbol" w:hint="default"/>
      </w:rPr>
    </w:lvl>
    <w:lvl w:ilvl="4" w:tplc="FE325C16">
      <w:start w:val="1"/>
      <w:numFmt w:val="bullet"/>
      <w:lvlText w:val="o"/>
      <w:lvlJc w:val="left"/>
      <w:pPr>
        <w:ind w:left="3600" w:hanging="360"/>
      </w:pPr>
      <w:rPr>
        <w:rFonts w:ascii="Courier New" w:hAnsi="Courier New" w:hint="default"/>
      </w:rPr>
    </w:lvl>
    <w:lvl w:ilvl="5" w:tplc="232CAA0A">
      <w:start w:val="1"/>
      <w:numFmt w:val="bullet"/>
      <w:lvlText w:val=""/>
      <w:lvlJc w:val="left"/>
      <w:pPr>
        <w:ind w:left="4320" w:hanging="360"/>
      </w:pPr>
      <w:rPr>
        <w:rFonts w:ascii="Wingdings" w:hAnsi="Wingdings" w:hint="default"/>
      </w:rPr>
    </w:lvl>
    <w:lvl w:ilvl="6" w:tplc="CD9A174E">
      <w:start w:val="1"/>
      <w:numFmt w:val="bullet"/>
      <w:lvlText w:val=""/>
      <w:lvlJc w:val="left"/>
      <w:pPr>
        <w:ind w:left="5040" w:hanging="360"/>
      </w:pPr>
      <w:rPr>
        <w:rFonts w:ascii="Symbol" w:hAnsi="Symbol" w:hint="default"/>
      </w:rPr>
    </w:lvl>
    <w:lvl w:ilvl="7" w:tplc="7F06B1CE">
      <w:start w:val="1"/>
      <w:numFmt w:val="bullet"/>
      <w:lvlText w:val="o"/>
      <w:lvlJc w:val="left"/>
      <w:pPr>
        <w:ind w:left="5760" w:hanging="360"/>
      </w:pPr>
      <w:rPr>
        <w:rFonts w:ascii="Courier New" w:hAnsi="Courier New" w:hint="default"/>
      </w:rPr>
    </w:lvl>
    <w:lvl w:ilvl="8" w:tplc="C304EE8E">
      <w:start w:val="1"/>
      <w:numFmt w:val="bullet"/>
      <w:lvlText w:val=""/>
      <w:lvlJc w:val="left"/>
      <w:pPr>
        <w:ind w:left="6480" w:hanging="360"/>
      </w:pPr>
      <w:rPr>
        <w:rFonts w:ascii="Wingdings" w:hAnsi="Wingdings" w:hint="default"/>
      </w:rPr>
    </w:lvl>
  </w:abstractNum>
  <w:abstractNum w:abstractNumId="8" w15:restartNumberingAfterBreak="0">
    <w:nsid w:val="399E18C1"/>
    <w:multiLevelType w:val="hybridMultilevel"/>
    <w:tmpl w:val="973AFA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1E354B6"/>
    <w:multiLevelType w:val="hybridMultilevel"/>
    <w:tmpl w:val="7856F98A"/>
    <w:lvl w:ilvl="0" w:tplc="C8DE696E">
      <w:numFmt w:val="bullet"/>
      <w:lvlText w:val="-"/>
      <w:lvlJc w:val="left"/>
      <w:pPr>
        <w:ind w:left="1080" w:hanging="360"/>
      </w:pPr>
      <w:rPr>
        <w:rFonts w:ascii="Verdana" w:eastAsia="Times New Roman" w:hAnsi="Verdan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4CD26A90"/>
    <w:multiLevelType w:val="hybridMultilevel"/>
    <w:tmpl w:val="EB62BF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E167604"/>
    <w:multiLevelType w:val="hybridMultilevel"/>
    <w:tmpl w:val="E168E5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73C7278"/>
    <w:multiLevelType w:val="hybridMultilevel"/>
    <w:tmpl w:val="645469CC"/>
    <w:lvl w:ilvl="0" w:tplc="0A0CAD9E">
      <w:start w:val="1"/>
      <w:numFmt w:val="lowerLetter"/>
      <w:lvlText w:val="%1)"/>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8085762">
      <w:start w:val="1"/>
      <w:numFmt w:val="bullet"/>
      <w:lvlText w:val="•"/>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E223030">
      <w:start w:val="1"/>
      <w:numFmt w:val="bullet"/>
      <w:lvlText w:val="▪"/>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8085762">
      <w:start w:val="1"/>
      <w:numFmt w:val="bullet"/>
      <w:lvlText w:val="•"/>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E04FA00">
      <w:start w:val="1"/>
      <w:numFmt w:val="bullet"/>
      <w:lvlText w:val="o"/>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C20D160">
      <w:start w:val="1"/>
      <w:numFmt w:val="bullet"/>
      <w:lvlText w:val="▪"/>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F709454">
      <w:start w:val="1"/>
      <w:numFmt w:val="bullet"/>
      <w:lvlText w:val="•"/>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94E79E2">
      <w:start w:val="1"/>
      <w:numFmt w:val="bullet"/>
      <w:lvlText w:val="o"/>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59904C60">
      <w:start w:val="1"/>
      <w:numFmt w:val="bullet"/>
      <w:lvlText w:val="▪"/>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59625777"/>
    <w:multiLevelType w:val="hybridMultilevel"/>
    <w:tmpl w:val="78DE730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 w15:restartNumberingAfterBreak="0">
    <w:nsid w:val="5F39604F"/>
    <w:multiLevelType w:val="hybridMultilevel"/>
    <w:tmpl w:val="E3D4FB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16C2515"/>
    <w:multiLevelType w:val="hybridMultilevel"/>
    <w:tmpl w:val="9E2C78F0"/>
    <w:lvl w:ilvl="0" w:tplc="0A0CAD9E">
      <w:start w:val="1"/>
      <w:numFmt w:val="lowerLetter"/>
      <w:lvlText w:val="%1)"/>
      <w:lvlJc w:val="left"/>
      <w:pPr>
        <w:ind w:left="7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F9A4A7D8">
      <w:start w:val="1"/>
      <w:numFmt w:val="bullet"/>
      <w:lvlText w:val="-"/>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9E223030">
      <w:start w:val="1"/>
      <w:numFmt w:val="bullet"/>
      <w:lvlText w:val="▪"/>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8085762">
      <w:start w:val="1"/>
      <w:numFmt w:val="bullet"/>
      <w:lvlText w:val="•"/>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E04FA00">
      <w:start w:val="1"/>
      <w:numFmt w:val="bullet"/>
      <w:lvlText w:val="o"/>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5C20D160">
      <w:start w:val="1"/>
      <w:numFmt w:val="bullet"/>
      <w:lvlText w:val="▪"/>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0F709454">
      <w:start w:val="1"/>
      <w:numFmt w:val="bullet"/>
      <w:lvlText w:val="•"/>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094E79E2">
      <w:start w:val="1"/>
      <w:numFmt w:val="bullet"/>
      <w:lvlText w:val="o"/>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59904C60">
      <w:start w:val="1"/>
      <w:numFmt w:val="bullet"/>
      <w:lvlText w:val="▪"/>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6A90676C"/>
    <w:multiLevelType w:val="hybridMultilevel"/>
    <w:tmpl w:val="E5EE5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ADB2440"/>
    <w:multiLevelType w:val="hybridMultilevel"/>
    <w:tmpl w:val="A30A28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F3479C2"/>
    <w:multiLevelType w:val="hybridMultilevel"/>
    <w:tmpl w:val="B91018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4A24981"/>
    <w:multiLevelType w:val="hybridMultilevel"/>
    <w:tmpl w:val="57A486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E611F52"/>
    <w:multiLevelType w:val="hybridMultilevel"/>
    <w:tmpl w:val="8A8A5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781216681">
    <w:abstractNumId w:val="9"/>
  </w:num>
  <w:num w:numId="2" w16cid:durableId="1017384802">
    <w:abstractNumId w:val="6"/>
  </w:num>
  <w:num w:numId="3" w16cid:durableId="711543003">
    <w:abstractNumId w:val="16"/>
  </w:num>
  <w:num w:numId="4" w16cid:durableId="1496915035">
    <w:abstractNumId w:val="18"/>
  </w:num>
  <w:num w:numId="5" w16cid:durableId="1379359951">
    <w:abstractNumId w:val="15"/>
  </w:num>
  <w:num w:numId="6" w16cid:durableId="1125613034">
    <w:abstractNumId w:val="19"/>
  </w:num>
  <w:num w:numId="7" w16cid:durableId="2090543543">
    <w:abstractNumId w:val="3"/>
  </w:num>
  <w:num w:numId="8" w16cid:durableId="732582509">
    <w:abstractNumId w:val="10"/>
  </w:num>
  <w:num w:numId="9" w16cid:durableId="2109422271">
    <w:abstractNumId w:val="7"/>
  </w:num>
  <w:num w:numId="10" w16cid:durableId="2147114897">
    <w:abstractNumId w:val="14"/>
  </w:num>
  <w:num w:numId="11" w16cid:durableId="1310748523">
    <w:abstractNumId w:val="17"/>
  </w:num>
  <w:num w:numId="12" w16cid:durableId="1515420668">
    <w:abstractNumId w:val="8"/>
  </w:num>
  <w:num w:numId="13" w16cid:durableId="839275919">
    <w:abstractNumId w:val="11"/>
  </w:num>
  <w:num w:numId="14" w16cid:durableId="271518099">
    <w:abstractNumId w:val="12"/>
  </w:num>
  <w:num w:numId="15" w16cid:durableId="2017421812">
    <w:abstractNumId w:val="13"/>
  </w:num>
  <w:num w:numId="16" w16cid:durableId="2050376129">
    <w:abstractNumId w:val="1"/>
  </w:num>
  <w:num w:numId="17" w16cid:durableId="679048721">
    <w:abstractNumId w:val="20"/>
  </w:num>
  <w:num w:numId="18" w16cid:durableId="710567641">
    <w:abstractNumId w:val="0"/>
  </w:num>
  <w:num w:numId="19" w16cid:durableId="1195193212">
    <w:abstractNumId w:val="4"/>
  </w:num>
  <w:num w:numId="20" w16cid:durableId="841554565">
    <w:abstractNumId w:val="5"/>
  </w:num>
  <w:num w:numId="21" w16cid:durableId="1805149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FBF"/>
    <w:rsid w:val="00000D7B"/>
    <w:rsid w:val="000015C3"/>
    <w:rsid w:val="00006736"/>
    <w:rsid w:val="00007063"/>
    <w:rsid w:val="00007A0F"/>
    <w:rsid w:val="00007B3A"/>
    <w:rsid w:val="00011310"/>
    <w:rsid w:val="00012C59"/>
    <w:rsid w:val="00015DB0"/>
    <w:rsid w:val="00016CB9"/>
    <w:rsid w:val="00017FA1"/>
    <w:rsid w:val="00020AED"/>
    <w:rsid w:val="00020FBF"/>
    <w:rsid w:val="00022117"/>
    <w:rsid w:val="00022AEC"/>
    <w:rsid w:val="0002347C"/>
    <w:rsid w:val="00023523"/>
    <w:rsid w:val="000245B1"/>
    <w:rsid w:val="00024610"/>
    <w:rsid w:val="00024DB8"/>
    <w:rsid w:val="00024DF6"/>
    <w:rsid w:val="00025C6F"/>
    <w:rsid w:val="00026FFC"/>
    <w:rsid w:val="000270EA"/>
    <w:rsid w:val="0003040B"/>
    <w:rsid w:val="000325A4"/>
    <w:rsid w:val="00032D1E"/>
    <w:rsid w:val="0003452A"/>
    <w:rsid w:val="0003489B"/>
    <w:rsid w:val="00034D9E"/>
    <w:rsid w:val="00034EB7"/>
    <w:rsid w:val="00035122"/>
    <w:rsid w:val="0003743B"/>
    <w:rsid w:val="000410C4"/>
    <w:rsid w:val="00043283"/>
    <w:rsid w:val="00043A09"/>
    <w:rsid w:val="000462F5"/>
    <w:rsid w:val="00046ABC"/>
    <w:rsid w:val="00046F9D"/>
    <w:rsid w:val="000471A4"/>
    <w:rsid w:val="00047511"/>
    <w:rsid w:val="00047D51"/>
    <w:rsid w:val="000503BD"/>
    <w:rsid w:val="00050E21"/>
    <w:rsid w:val="000528DB"/>
    <w:rsid w:val="00053927"/>
    <w:rsid w:val="00054042"/>
    <w:rsid w:val="00056492"/>
    <w:rsid w:val="00056740"/>
    <w:rsid w:val="00056B74"/>
    <w:rsid w:val="0005753D"/>
    <w:rsid w:val="0006102A"/>
    <w:rsid w:val="00061B99"/>
    <w:rsid w:val="00062083"/>
    <w:rsid w:val="00062DFF"/>
    <w:rsid w:val="0006488A"/>
    <w:rsid w:val="000656BA"/>
    <w:rsid w:val="000657B8"/>
    <w:rsid w:val="00065E25"/>
    <w:rsid w:val="00072160"/>
    <w:rsid w:val="000727A6"/>
    <w:rsid w:val="00072C20"/>
    <w:rsid w:val="00073195"/>
    <w:rsid w:val="00073C0B"/>
    <w:rsid w:val="0007458F"/>
    <w:rsid w:val="0007512F"/>
    <w:rsid w:val="000755CA"/>
    <w:rsid w:val="00075A40"/>
    <w:rsid w:val="0007629F"/>
    <w:rsid w:val="00077695"/>
    <w:rsid w:val="00080908"/>
    <w:rsid w:val="0008113A"/>
    <w:rsid w:val="00081448"/>
    <w:rsid w:val="00081597"/>
    <w:rsid w:val="00082079"/>
    <w:rsid w:val="00084649"/>
    <w:rsid w:val="000903DF"/>
    <w:rsid w:val="0009099F"/>
    <w:rsid w:val="00090D45"/>
    <w:rsid w:val="00092B2E"/>
    <w:rsid w:val="0009499F"/>
    <w:rsid w:val="0009585B"/>
    <w:rsid w:val="000958CD"/>
    <w:rsid w:val="00095AEE"/>
    <w:rsid w:val="000971AE"/>
    <w:rsid w:val="00097A32"/>
    <w:rsid w:val="000A02A2"/>
    <w:rsid w:val="000A09E2"/>
    <w:rsid w:val="000A19DB"/>
    <w:rsid w:val="000A1D9F"/>
    <w:rsid w:val="000A28ED"/>
    <w:rsid w:val="000A2AB0"/>
    <w:rsid w:val="000B1CF2"/>
    <w:rsid w:val="000B2368"/>
    <w:rsid w:val="000B3361"/>
    <w:rsid w:val="000B34D8"/>
    <w:rsid w:val="000B3803"/>
    <w:rsid w:val="000B631A"/>
    <w:rsid w:val="000B68F6"/>
    <w:rsid w:val="000B6A04"/>
    <w:rsid w:val="000B6C15"/>
    <w:rsid w:val="000B700C"/>
    <w:rsid w:val="000C1129"/>
    <w:rsid w:val="000C266A"/>
    <w:rsid w:val="000C5D21"/>
    <w:rsid w:val="000C6BE5"/>
    <w:rsid w:val="000C7B60"/>
    <w:rsid w:val="000C7B72"/>
    <w:rsid w:val="000D0050"/>
    <w:rsid w:val="000D0A3B"/>
    <w:rsid w:val="000D185A"/>
    <w:rsid w:val="000D23E4"/>
    <w:rsid w:val="000D2870"/>
    <w:rsid w:val="000D3ACD"/>
    <w:rsid w:val="000D4656"/>
    <w:rsid w:val="000D5A56"/>
    <w:rsid w:val="000D69BE"/>
    <w:rsid w:val="000D76EC"/>
    <w:rsid w:val="000E1FBA"/>
    <w:rsid w:val="000E2806"/>
    <w:rsid w:val="000E2CD4"/>
    <w:rsid w:val="000E338A"/>
    <w:rsid w:val="000E3499"/>
    <w:rsid w:val="000E44DE"/>
    <w:rsid w:val="000E5464"/>
    <w:rsid w:val="000E6055"/>
    <w:rsid w:val="000E6483"/>
    <w:rsid w:val="000E6596"/>
    <w:rsid w:val="000E6D1E"/>
    <w:rsid w:val="000E7B07"/>
    <w:rsid w:val="000F031F"/>
    <w:rsid w:val="000F37D1"/>
    <w:rsid w:val="000F3E69"/>
    <w:rsid w:val="000F3F67"/>
    <w:rsid w:val="000F59F5"/>
    <w:rsid w:val="000F6B89"/>
    <w:rsid w:val="00103D43"/>
    <w:rsid w:val="00103EDE"/>
    <w:rsid w:val="00106BC5"/>
    <w:rsid w:val="00107349"/>
    <w:rsid w:val="00110388"/>
    <w:rsid w:val="00110D0A"/>
    <w:rsid w:val="00111AE7"/>
    <w:rsid w:val="0011264A"/>
    <w:rsid w:val="001135F3"/>
    <w:rsid w:val="00113BC7"/>
    <w:rsid w:val="0011592B"/>
    <w:rsid w:val="00115947"/>
    <w:rsid w:val="00115B5D"/>
    <w:rsid w:val="00122BBC"/>
    <w:rsid w:val="00123D3F"/>
    <w:rsid w:val="001258E7"/>
    <w:rsid w:val="00126108"/>
    <w:rsid w:val="00126B37"/>
    <w:rsid w:val="00127A1A"/>
    <w:rsid w:val="001300EF"/>
    <w:rsid w:val="0013022B"/>
    <w:rsid w:val="001304FD"/>
    <w:rsid w:val="0013175A"/>
    <w:rsid w:val="001342F3"/>
    <w:rsid w:val="00134FCF"/>
    <w:rsid w:val="00136193"/>
    <w:rsid w:val="00137770"/>
    <w:rsid w:val="00140740"/>
    <w:rsid w:val="00141250"/>
    <w:rsid w:val="00142808"/>
    <w:rsid w:val="00143B2F"/>
    <w:rsid w:val="00144DE9"/>
    <w:rsid w:val="001451D7"/>
    <w:rsid w:val="00150420"/>
    <w:rsid w:val="00150641"/>
    <w:rsid w:val="00150EA0"/>
    <w:rsid w:val="00151A65"/>
    <w:rsid w:val="00151CD5"/>
    <w:rsid w:val="00151E9D"/>
    <w:rsid w:val="00152541"/>
    <w:rsid w:val="00152E4C"/>
    <w:rsid w:val="00153115"/>
    <w:rsid w:val="00153D1D"/>
    <w:rsid w:val="001551FF"/>
    <w:rsid w:val="001555EE"/>
    <w:rsid w:val="00155D84"/>
    <w:rsid w:val="00156784"/>
    <w:rsid w:val="001567D4"/>
    <w:rsid w:val="001575CA"/>
    <w:rsid w:val="00157D14"/>
    <w:rsid w:val="00160216"/>
    <w:rsid w:val="0016072B"/>
    <w:rsid w:val="00160C0E"/>
    <w:rsid w:val="00160FFE"/>
    <w:rsid w:val="00161849"/>
    <w:rsid w:val="00161C26"/>
    <w:rsid w:val="001625AC"/>
    <w:rsid w:val="00162A51"/>
    <w:rsid w:val="00162D8E"/>
    <w:rsid w:val="00163182"/>
    <w:rsid w:val="00164676"/>
    <w:rsid w:val="00165C0C"/>
    <w:rsid w:val="00166B6A"/>
    <w:rsid w:val="00166DF3"/>
    <w:rsid w:val="00166EA4"/>
    <w:rsid w:val="001671FE"/>
    <w:rsid w:val="0016774A"/>
    <w:rsid w:val="00167D7F"/>
    <w:rsid w:val="001707F9"/>
    <w:rsid w:val="00171595"/>
    <w:rsid w:val="00171689"/>
    <w:rsid w:val="00172046"/>
    <w:rsid w:val="001736A6"/>
    <w:rsid w:val="00173DA5"/>
    <w:rsid w:val="0017426C"/>
    <w:rsid w:val="001744C6"/>
    <w:rsid w:val="00175816"/>
    <w:rsid w:val="00175B2D"/>
    <w:rsid w:val="0017666C"/>
    <w:rsid w:val="00176966"/>
    <w:rsid w:val="001773BA"/>
    <w:rsid w:val="00177F96"/>
    <w:rsid w:val="001807B4"/>
    <w:rsid w:val="00181224"/>
    <w:rsid w:val="0018199A"/>
    <w:rsid w:val="00182858"/>
    <w:rsid w:val="0018356E"/>
    <w:rsid w:val="00185A9D"/>
    <w:rsid w:val="00186B77"/>
    <w:rsid w:val="001908D2"/>
    <w:rsid w:val="001909B5"/>
    <w:rsid w:val="00190FD4"/>
    <w:rsid w:val="00191A38"/>
    <w:rsid w:val="00191C1B"/>
    <w:rsid w:val="00191F6C"/>
    <w:rsid w:val="00192AF0"/>
    <w:rsid w:val="001950E1"/>
    <w:rsid w:val="00195A9C"/>
    <w:rsid w:val="001964E5"/>
    <w:rsid w:val="00196DD7"/>
    <w:rsid w:val="00197D6E"/>
    <w:rsid w:val="001A0ACA"/>
    <w:rsid w:val="001A1653"/>
    <w:rsid w:val="001A1D9F"/>
    <w:rsid w:val="001A4295"/>
    <w:rsid w:val="001A56E3"/>
    <w:rsid w:val="001A6B3E"/>
    <w:rsid w:val="001A6CC8"/>
    <w:rsid w:val="001A6F10"/>
    <w:rsid w:val="001B05BB"/>
    <w:rsid w:val="001B0A3E"/>
    <w:rsid w:val="001B0B8C"/>
    <w:rsid w:val="001B1EFD"/>
    <w:rsid w:val="001B1F3B"/>
    <w:rsid w:val="001B309C"/>
    <w:rsid w:val="001B384E"/>
    <w:rsid w:val="001B5538"/>
    <w:rsid w:val="001B55BC"/>
    <w:rsid w:val="001B66FB"/>
    <w:rsid w:val="001B6B48"/>
    <w:rsid w:val="001B6B76"/>
    <w:rsid w:val="001B7461"/>
    <w:rsid w:val="001C157E"/>
    <w:rsid w:val="001C2080"/>
    <w:rsid w:val="001C24E2"/>
    <w:rsid w:val="001C2D38"/>
    <w:rsid w:val="001C2FCA"/>
    <w:rsid w:val="001C3982"/>
    <w:rsid w:val="001C3BF4"/>
    <w:rsid w:val="001C461F"/>
    <w:rsid w:val="001C7C1A"/>
    <w:rsid w:val="001D000A"/>
    <w:rsid w:val="001D188A"/>
    <w:rsid w:val="001D26F8"/>
    <w:rsid w:val="001D41D4"/>
    <w:rsid w:val="001D4D2E"/>
    <w:rsid w:val="001D59FE"/>
    <w:rsid w:val="001D6DB8"/>
    <w:rsid w:val="001D716C"/>
    <w:rsid w:val="001E0245"/>
    <w:rsid w:val="001E0791"/>
    <w:rsid w:val="001E0FB9"/>
    <w:rsid w:val="001E280B"/>
    <w:rsid w:val="001E6FBA"/>
    <w:rsid w:val="001F13D3"/>
    <w:rsid w:val="001F22E6"/>
    <w:rsid w:val="001F37D5"/>
    <w:rsid w:val="001F38BC"/>
    <w:rsid w:val="001F4CF9"/>
    <w:rsid w:val="001F5259"/>
    <w:rsid w:val="0020158B"/>
    <w:rsid w:val="00203597"/>
    <w:rsid w:val="0020463D"/>
    <w:rsid w:val="00206CD6"/>
    <w:rsid w:val="00206D10"/>
    <w:rsid w:val="00206D38"/>
    <w:rsid w:val="00207664"/>
    <w:rsid w:val="00207CC5"/>
    <w:rsid w:val="00210B0F"/>
    <w:rsid w:val="00212868"/>
    <w:rsid w:val="00213C16"/>
    <w:rsid w:val="002156DF"/>
    <w:rsid w:val="0021692B"/>
    <w:rsid w:val="00216A25"/>
    <w:rsid w:val="00217828"/>
    <w:rsid w:val="002222D9"/>
    <w:rsid w:val="00222CB4"/>
    <w:rsid w:val="002239E3"/>
    <w:rsid w:val="002242CE"/>
    <w:rsid w:val="00224BD6"/>
    <w:rsid w:val="002256EF"/>
    <w:rsid w:val="00225D09"/>
    <w:rsid w:val="00226103"/>
    <w:rsid w:val="00227745"/>
    <w:rsid w:val="00227859"/>
    <w:rsid w:val="00232EF9"/>
    <w:rsid w:val="00233B91"/>
    <w:rsid w:val="00234991"/>
    <w:rsid w:val="00235406"/>
    <w:rsid w:val="00235D09"/>
    <w:rsid w:val="00236E91"/>
    <w:rsid w:val="00237172"/>
    <w:rsid w:val="00237A91"/>
    <w:rsid w:val="00237CD8"/>
    <w:rsid w:val="002402E5"/>
    <w:rsid w:val="00241F9D"/>
    <w:rsid w:val="002424DE"/>
    <w:rsid w:val="00242BCA"/>
    <w:rsid w:val="00242FB0"/>
    <w:rsid w:val="002440E7"/>
    <w:rsid w:val="00244583"/>
    <w:rsid w:val="00245811"/>
    <w:rsid w:val="002464BE"/>
    <w:rsid w:val="00246B1C"/>
    <w:rsid w:val="00246F9E"/>
    <w:rsid w:val="00247369"/>
    <w:rsid w:val="0024764A"/>
    <w:rsid w:val="00247EB5"/>
    <w:rsid w:val="002501AD"/>
    <w:rsid w:val="00250748"/>
    <w:rsid w:val="0025092D"/>
    <w:rsid w:val="0025114F"/>
    <w:rsid w:val="0025287C"/>
    <w:rsid w:val="002537A7"/>
    <w:rsid w:val="00253A0D"/>
    <w:rsid w:val="002557D3"/>
    <w:rsid w:val="00256675"/>
    <w:rsid w:val="002604BA"/>
    <w:rsid w:val="002621C2"/>
    <w:rsid w:val="00262A99"/>
    <w:rsid w:val="00262CF9"/>
    <w:rsid w:val="002630FB"/>
    <w:rsid w:val="0026343E"/>
    <w:rsid w:val="00264756"/>
    <w:rsid w:val="0026568A"/>
    <w:rsid w:val="00265C07"/>
    <w:rsid w:val="002700CC"/>
    <w:rsid w:val="00270508"/>
    <w:rsid w:val="002709EF"/>
    <w:rsid w:val="00270E01"/>
    <w:rsid w:val="002724D1"/>
    <w:rsid w:val="00273E6F"/>
    <w:rsid w:val="00274FC6"/>
    <w:rsid w:val="00275008"/>
    <w:rsid w:val="002771C4"/>
    <w:rsid w:val="002776AA"/>
    <w:rsid w:val="0028059E"/>
    <w:rsid w:val="00281D09"/>
    <w:rsid w:val="00284B28"/>
    <w:rsid w:val="00284D4C"/>
    <w:rsid w:val="00286410"/>
    <w:rsid w:val="002901AD"/>
    <w:rsid w:val="002904A2"/>
    <w:rsid w:val="0029077C"/>
    <w:rsid w:val="00290886"/>
    <w:rsid w:val="00290DDC"/>
    <w:rsid w:val="00291ABB"/>
    <w:rsid w:val="00291CA9"/>
    <w:rsid w:val="00294A5B"/>
    <w:rsid w:val="00295522"/>
    <w:rsid w:val="00296A43"/>
    <w:rsid w:val="002976F8"/>
    <w:rsid w:val="002A1C90"/>
    <w:rsid w:val="002A3216"/>
    <w:rsid w:val="002A7339"/>
    <w:rsid w:val="002B18BD"/>
    <w:rsid w:val="002B26A7"/>
    <w:rsid w:val="002B464B"/>
    <w:rsid w:val="002B4B93"/>
    <w:rsid w:val="002B5E59"/>
    <w:rsid w:val="002B5FA4"/>
    <w:rsid w:val="002B77B2"/>
    <w:rsid w:val="002C0627"/>
    <w:rsid w:val="002C13BF"/>
    <w:rsid w:val="002C1699"/>
    <w:rsid w:val="002C5135"/>
    <w:rsid w:val="002C5CD9"/>
    <w:rsid w:val="002C637F"/>
    <w:rsid w:val="002C6873"/>
    <w:rsid w:val="002C7C48"/>
    <w:rsid w:val="002D0788"/>
    <w:rsid w:val="002D0E76"/>
    <w:rsid w:val="002D0FA2"/>
    <w:rsid w:val="002D20FD"/>
    <w:rsid w:val="002D217E"/>
    <w:rsid w:val="002D263F"/>
    <w:rsid w:val="002D4283"/>
    <w:rsid w:val="002D46FF"/>
    <w:rsid w:val="002D51BC"/>
    <w:rsid w:val="002D6661"/>
    <w:rsid w:val="002D7E3D"/>
    <w:rsid w:val="002E0EF3"/>
    <w:rsid w:val="002E11A1"/>
    <w:rsid w:val="002E169C"/>
    <w:rsid w:val="002E25ED"/>
    <w:rsid w:val="002E414E"/>
    <w:rsid w:val="002E591E"/>
    <w:rsid w:val="002F02A0"/>
    <w:rsid w:val="002F02DF"/>
    <w:rsid w:val="002F21CB"/>
    <w:rsid w:val="002F36C3"/>
    <w:rsid w:val="002F491E"/>
    <w:rsid w:val="002F4F43"/>
    <w:rsid w:val="002F67BF"/>
    <w:rsid w:val="002F6D0D"/>
    <w:rsid w:val="002F7683"/>
    <w:rsid w:val="0030103B"/>
    <w:rsid w:val="00301640"/>
    <w:rsid w:val="00301FB4"/>
    <w:rsid w:val="003024CB"/>
    <w:rsid w:val="00302575"/>
    <w:rsid w:val="00302AFD"/>
    <w:rsid w:val="00306154"/>
    <w:rsid w:val="0030621A"/>
    <w:rsid w:val="00306556"/>
    <w:rsid w:val="003100C5"/>
    <w:rsid w:val="00311515"/>
    <w:rsid w:val="003116DC"/>
    <w:rsid w:val="00311AE8"/>
    <w:rsid w:val="00311CCA"/>
    <w:rsid w:val="00311D1A"/>
    <w:rsid w:val="00312122"/>
    <w:rsid w:val="003124CA"/>
    <w:rsid w:val="00312B36"/>
    <w:rsid w:val="00313579"/>
    <w:rsid w:val="003135D3"/>
    <w:rsid w:val="003170A6"/>
    <w:rsid w:val="00320818"/>
    <w:rsid w:val="00320A7B"/>
    <w:rsid w:val="00320EE8"/>
    <w:rsid w:val="00322E5D"/>
    <w:rsid w:val="0032381B"/>
    <w:rsid w:val="00323B72"/>
    <w:rsid w:val="00324F00"/>
    <w:rsid w:val="0032537B"/>
    <w:rsid w:val="0032566C"/>
    <w:rsid w:val="00325C2D"/>
    <w:rsid w:val="00332CBD"/>
    <w:rsid w:val="003338BF"/>
    <w:rsid w:val="0033631F"/>
    <w:rsid w:val="00337C3C"/>
    <w:rsid w:val="00340D36"/>
    <w:rsid w:val="00341339"/>
    <w:rsid w:val="00341ACB"/>
    <w:rsid w:val="00342027"/>
    <w:rsid w:val="003445ED"/>
    <w:rsid w:val="003457B9"/>
    <w:rsid w:val="003458E0"/>
    <w:rsid w:val="00345F85"/>
    <w:rsid w:val="003468D8"/>
    <w:rsid w:val="00350D2A"/>
    <w:rsid w:val="00350D60"/>
    <w:rsid w:val="00351017"/>
    <w:rsid w:val="003511B8"/>
    <w:rsid w:val="003533B2"/>
    <w:rsid w:val="0035402F"/>
    <w:rsid w:val="00354824"/>
    <w:rsid w:val="0035559A"/>
    <w:rsid w:val="00355F6D"/>
    <w:rsid w:val="00357046"/>
    <w:rsid w:val="0036130B"/>
    <w:rsid w:val="00362FE8"/>
    <w:rsid w:val="0036363B"/>
    <w:rsid w:val="00363B85"/>
    <w:rsid w:val="00366E6F"/>
    <w:rsid w:val="0037009C"/>
    <w:rsid w:val="00370E28"/>
    <w:rsid w:val="00371B1D"/>
    <w:rsid w:val="00371C15"/>
    <w:rsid w:val="00371D02"/>
    <w:rsid w:val="00372896"/>
    <w:rsid w:val="00372997"/>
    <w:rsid w:val="003743DB"/>
    <w:rsid w:val="00374B96"/>
    <w:rsid w:val="003762A9"/>
    <w:rsid w:val="00377707"/>
    <w:rsid w:val="00383737"/>
    <w:rsid w:val="00383933"/>
    <w:rsid w:val="003859CD"/>
    <w:rsid w:val="00385DAF"/>
    <w:rsid w:val="00387EE3"/>
    <w:rsid w:val="00391D58"/>
    <w:rsid w:val="0039216D"/>
    <w:rsid w:val="003925E2"/>
    <w:rsid w:val="00393CFE"/>
    <w:rsid w:val="003942D8"/>
    <w:rsid w:val="0039725E"/>
    <w:rsid w:val="00397D1F"/>
    <w:rsid w:val="003A0272"/>
    <w:rsid w:val="003A17A1"/>
    <w:rsid w:val="003A27F7"/>
    <w:rsid w:val="003A44BF"/>
    <w:rsid w:val="003A45D8"/>
    <w:rsid w:val="003A593C"/>
    <w:rsid w:val="003A5B42"/>
    <w:rsid w:val="003A707A"/>
    <w:rsid w:val="003A711B"/>
    <w:rsid w:val="003A74E8"/>
    <w:rsid w:val="003B0C95"/>
    <w:rsid w:val="003B1FF5"/>
    <w:rsid w:val="003B2102"/>
    <w:rsid w:val="003B2269"/>
    <w:rsid w:val="003B22FC"/>
    <w:rsid w:val="003B2ADF"/>
    <w:rsid w:val="003B45C8"/>
    <w:rsid w:val="003B463F"/>
    <w:rsid w:val="003B61B6"/>
    <w:rsid w:val="003B61BE"/>
    <w:rsid w:val="003B6E7F"/>
    <w:rsid w:val="003B6EF9"/>
    <w:rsid w:val="003C0421"/>
    <w:rsid w:val="003C048A"/>
    <w:rsid w:val="003C1BBF"/>
    <w:rsid w:val="003C3FD7"/>
    <w:rsid w:val="003C4E24"/>
    <w:rsid w:val="003C56A5"/>
    <w:rsid w:val="003C7B03"/>
    <w:rsid w:val="003D021E"/>
    <w:rsid w:val="003D0BEF"/>
    <w:rsid w:val="003D1AB6"/>
    <w:rsid w:val="003D1B53"/>
    <w:rsid w:val="003D2095"/>
    <w:rsid w:val="003D3ED9"/>
    <w:rsid w:val="003D40BB"/>
    <w:rsid w:val="003D51C1"/>
    <w:rsid w:val="003D56A5"/>
    <w:rsid w:val="003D5933"/>
    <w:rsid w:val="003D70EA"/>
    <w:rsid w:val="003D7BC3"/>
    <w:rsid w:val="003E0C35"/>
    <w:rsid w:val="003E2518"/>
    <w:rsid w:val="003E441F"/>
    <w:rsid w:val="003E44D8"/>
    <w:rsid w:val="003E5713"/>
    <w:rsid w:val="003E6BBA"/>
    <w:rsid w:val="003E756A"/>
    <w:rsid w:val="003F0503"/>
    <w:rsid w:val="003F3028"/>
    <w:rsid w:val="003F3DBD"/>
    <w:rsid w:val="003F46AC"/>
    <w:rsid w:val="003F4E5B"/>
    <w:rsid w:val="003F6135"/>
    <w:rsid w:val="003F7887"/>
    <w:rsid w:val="0040066A"/>
    <w:rsid w:val="0040098C"/>
    <w:rsid w:val="00400C64"/>
    <w:rsid w:val="00400D9E"/>
    <w:rsid w:val="004011DA"/>
    <w:rsid w:val="004022A2"/>
    <w:rsid w:val="00402602"/>
    <w:rsid w:val="00404860"/>
    <w:rsid w:val="00404A40"/>
    <w:rsid w:val="004062AB"/>
    <w:rsid w:val="00406B1B"/>
    <w:rsid w:val="00407A9F"/>
    <w:rsid w:val="004104FE"/>
    <w:rsid w:val="00410E51"/>
    <w:rsid w:val="004120A7"/>
    <w:rsid w:val="0041337F"/>
    <w:rsid w:val="004152D2"/>
    <w:rsid w:val="00415EAE"/>
    <w:rsid w:val="00415F30"/>
    <w:rsid w:val="0041657D"/>
    <w:rsid w:val="004168D1"/>
    <w:rsid w:val="00416B42"/>
    <w:rsid w:val="00416B74"/>
    <w:rsid w:val="004207D1"/>
    <w:rsid w:val="00421657"/>
    <w:rsid w:val="00421BF2"/>
    <w:rsid w:val="0042259B"/>
    <w:rsid w:val="00422919"/>
    <w:rsid w:val="00430335"/>
    <w:rsid w:val="004316C5"/>
    <w:rsid w:val="00431B23"/>
    <w:rsid w:val="004324DA"/>
    <w:rsid w:val="004330FB"/>
    <w:rsid w:val="004347CE"/>
    <w:rsid w:val="00434844"/>
    <w:rsid w:val="00435046"/>
    <w:rsid w:val="00437E8E"/>
    <w:rsid w:val="00441F44"/>
    <w:rsid w:val="00442253"/>
    <w:rsid w:val="00442943"/>
    <w:rsid w:val="004429DB"/>
    <w:rsid w:val="00442E92"/>
    <w:rsid w:val="00443A43"/>
    <w:rsid w:val="00444344"/>
    <w:rsid w:val="004449A7"/>
    <w:rsid w:val="00444A78"/>
    <w:rsid w:val="00445722"/>
    <w:rsid w:val="00446B13"/>
    <w:rsid w:val="004517BF"/>
    <w:rsid w:val="0045232A"/>
    <w:rsid w:val="00453187"/>
    <w:rsid w:val="0045368D"/>
    <w:rsid w:val="00454F0E"/>
    <w:rsid w:val="00455E5C"/>
    <w:rsid w:val="00456CDB"/>
    <w:rsid w:val="004578C0"/>
    <w:rsid w:val="004610B9"/>
    <w:rsid w:val="00464BD4"/>
    <w:rsid w:val="0046669B"/>
    <w:rsid w:val="0046685C"/>
    <w:rsid w:val="004674C6"/>
    <w:rsid w:val="004706E6"/>
    <w:rsid w:val="00473C2F"/>
    <w:rsid w:val="004746A9"/>
    <w:rsid w:val="00474ED2"/>
    <w:rsid w:val="004756D3"/>
    <w:rsid w:val="0048028F"/>
    <w:rsid w:val="004809B7"/>
    <w:rsid w:val="00480E90"/>
    <w:rsid w:val="00481F73"/>
    <w:rsid w:val="00482262"/>
    <w:rsid w:val="00483AF2"/>
    <w:rsid w:val="0048483D"/>
    <w:rsid w:val="004864F9"/>
    <w:rsid w:val="00486B44"/>
    <w:rsid w:val="004878CB"/>
    <w:rsid w:val="004901E1"/>
    <w:rsid w:val="004910C7"/>
    <w:rsid w:val="00492070"/>
    <w:rsid w:val="0049292A"/>
    <w:rsid w:val="00492C48"/>
    <w:rsid w:val="00492CF4"/>
    <w:rsid w:val="00495866"/>
    <w:rsid w:val="00495FE8"/>
    <w:rsid w:val="004A1854"/>
    <w:rsid w:val="004A24D1"/>
    <w:rsid w:val="004A2998"/>
    <w:rsid w:val="004A32B2"/>
    <w:rsid w:val="004A37ED"/>
    <w:rsid w:val="004A59CB"/>
    <w:rsid w:val="004A695C"/>
    <w:rsid w:val="004B161B"/>
    <w:rsid w:val="004B2841"/>
    <w:rsid w:val="004B3262"/>
    <w:rsid w:val="004B490F"/>
    <w:rsid w:val="004B4E5F"/>
    <w:rsid w:val="004B65A6"/>
    <w:rsid w:val="004B6D22"/>
    <w:rsid w:val="004B7313"/>
    <w:rsid w:val="004B7894"/>
    <w:rsid w:val="004C04BA"/>
    <w:rsid w:val="004C1713"/>
    <w:rsid w:val="004C19CD"/>
    <w:rsid w:val="004C3E88"/>
    <w:rsid w:val="004C581B"/>
    <w:rsid w:val="004C5DDA"/>
    <w:rsid w:val="004D064D"/>
    <w:rsid w:val="004D0E86"/>
    <w:rsid w:val="004D2ABD"/>
    <w:rsid w:val="004D37D2"/>
    <w:rsid w:val="004D5296"/>
    <w:rsid w:val="004E0690"/>
    <w:rsid w:val="004E0CB9"/>
    <w:rsid w:val="004E0E8E"/>
    <w:rsid w:val="004E215B"/>
    <w:rsid w:val="004E28FC"/>
    <w:rsid w:val="004E4FCB"/>
    <w:rsid w:val="004E5519"/>
    <w:rsid w:val="004E5CAA"/>
    <w:rsid w:val="004F07D4"/>
    <w:rsid w:val="004F091E"/>
    <w:rsid w:val="004F17D5"/>
    <w:rsid w:val="004F20F0"/>
    <w:rsid w:val="004F318D"/>
    <w:rsid w:val="004F4C0D"/>
    <w:rsid w:val="004F7477"/>
    <w:rsid w:val="004F7529"/>
    <w:rsid w:val="00500E12"/>
    <w:rsid w:val="00504122"/>
    <w:rsid w:val="00505832"/>
    <w:rsid w:val="00505986"/>
    <w:rsid w:val="00506AD3"/>
    <w:rsid w:val="00510DE7"/>
    <w:rsid w:val="00511FFE"/>
    <w:rsid w:val="00512AC3"/>
    <w:rsid w:val="00513146"/>
    <w:rsid w:val="00513422"/>
    <w:rsid w:val="00513B2F"/>
    <w:rsid w:val="00514584"/>
    <w:rsid w:val="00514D0D"/>
    <w:rsid w:val="00515C88"/>
    <w:rsid w:val="0051652E"/>
    <w:rsid w:val="00516F36"/>
    <w:rsid w:val="00520A39"/>
    <w:rsid w:val="00520B29"/>
    <w:rsid w:val="00520C0A"/>
    <w:rsid w:val="00521233"/>
    <w:rsid w:val="005216CC"/>
    <w:rsid w:val="00522E86"/>
    <w:rsid w:val="0052389F"/>
    <w:rsid w:val="00523DFC"/>
    <w:rsid w:val="00524C3A"/>
    <w:rsid w:val="0052684D"/>
    <w:rsid w:val="00526FC5"/>
    <w:rsid w:val="005321A1"/>
    <w:rsid w:val="00532F80"/>
    <w:rsid w:val="00533178"/>
    <w:rsid w:val="00533565"/>
    <w:rsid w:val="00533A86"/>
    <w:rsid w:val="00534734"/>
    <w:rsid w:val="00535305"/>
    <w:rsid w:val="00535EFF"/>
    <w:rsid w:val="00537A8B"/>
    <w:rsid w:val="00540AD4"/>
    <w:rsid w:val="005432D0"/>
    <w:rsid w:val="00543C84"/>
    <w:rsid w:val="00543F4F"/>
    <w:rsid w:val="00543F72"/>
    <w:rsid w:val="00544194"/>
    <w:rsid w:val="005449B5"/>
    <w:rsid w:val="00547F55"/>
    <w:rsid w:val="0055102C"/>
    <w:rsid w:val="00551720"/>
    <w:rsid w:val="00552492"/>
    <w:rsid w:val="00553B49"/>
    <w:rsid w:val="0055588D"/>
    <w:rsid w:val="005567B9"/>
    <w:rsid w:val="00560DEE"/>
    <w:rsid w:val="00561487"/>
    <w:rsid w:val="00562097"/>
    <w:rsid w:val="00562188"/>
    <w:rsid w:val="0056230F"/>
    <w:rsid w:val="005625C2"/>
    <w:rsid w:val="00562B91"/>
    <w:rsid w:val="00562C9B"/>
    <w:rsid w:val="00562FD9"/>
    <w:rsid w:val="005635AB"/>
    <w:rsid w:val="005639D1"/>
    <w:rsid w:val="00564334"/>
    <w:rsid w:val="00564D65"/>
    <w:rsid w:val="00566241"/>
    <w:rsid w:val="00567336"/>
    <w:rsid w:val="00567672"/>
    <w:rsid w:val="005704AE"/>
    <w:rsid w:val="00570533"/>
    <w:rsid w:val="00570E35"/>
    <w:rsid w:val="00571833"/>
    <w:rsid w:val="00571EAB"/>
    <w:rsid w:val="005720D8"/>
    <w:rsid w:val="00572BBF"/>
    <w:rsid w:val="00572D3A"/>
    <w:rsid w:val="00574152"/>
    <w:rsid w:val="00575566"/>
    <w:rsid w:val="00575E65"/>
    <w:rsid w:val="00577AC4"/>
    <w:rsid w:val="00581423"/>
    <w:rsid w:val="005815D6"/>
    <w:rsid w:val="00582C02"/>
    <w:rsid w:val="005831C5"/>
    <w:rsid w:val="0058398E"/>
    <w:rsid w:val="00584ADA"/>
    <w:rsid w:val="00584DB3"/>
    <w:rsid w:val="005858EC"/>
    <w:rsid w:val="0058592F"/>
    <w:rsid w:val="00585DED"/>
    <w:rsid w:val="0058756F"/>
    <w:rsid w:val="005919FD"/>
    <w:rsid w:val="00591B35"/>
    <w:rsid w:val="00591D91"/>
    <w:rsid w:val="00592792"/>
    <w:rsid w:val="0059439D"/>
    <w:rsid w:val="005A1FDE"/>
    <w:rsid w:val="005A4390"/>
    <w:rsid w:val="005A46CE"/>
    <w:rsid w:val="005A4C36"/>
    <w:rsid w:val="005A6368"/>
    <w:rsid w:val="005B04BD"/>
    <w:rsid w:val="005B1C4F"/>
    <w:rsid w:val="005B1CF1"/>
    <w:rsid w:val="005B36DA"/>
    <w:rsid w:val="005B4FA8"/>
    <w:rsid w:val="005B5CE7"/>
    <w:rsid w:val="005B5EFE"/>
    <w:rsid w:val="005B66DB"/>
    <w:rsid w:val="005B6B2E"/>
    <w:rsid w:val="005B6D56"/>
    <w:rsid w:val="005B7413"/>
    <w:rsid w:val="005C29AC"/>
    <w:rsid w:val="005C4CCE"/>
    <w:rsid w:val="005C6045"/>
    <w:rsid w:val="005C6612"/>
    <w:rsid w:val="005C6B0A"/>
    <w:rsid w:val="005C6B34"/>
    <w:rsid w:val="005C7783"/>
    <w:rsid w:val="005C7BCD"/>
    <w:rsid w:val="005D07DD"/>
    <w:rsid w:val="005D0CB0"/>
    <w:rsid w:val="005D37AC"/>
    <w:rsid w:val="005D3CFC"/>
    <w:rsid w:val="005D3FBF"/>
    <w:rsid w:val="005D46BA"/>
    <w:rsid w:val="005D4746"/>
    <w:rsid w:val="005D5225"/>
    <w:rsid w:val="005D5F82"/>
    <w:rsid w:val="005D75F4"/>
    <w:rsid w:val="005E18D3"/>
    <w:rsid w:val="005E1A50"/>
    <w:rsid w:val="005E1FA3"/>
    <w:rsid w:val="005E53BF"/>
    <w:rsid w:val="005E58F7"/>
    <w:rsid w:val="005E5A00"/>
    <w:rsid w:val="005E7C00"/>
    <w:rsid w:val="005E7C0E"/>
    <w:rsid w:val="005F3051"/>
    <w:rsid w:val="005F3CA2"/>
    <w:rsid w:val="005F6700"/>
    <w:rsid w:val="00600789"/>
    <w:rsid w:val="006029FB"/>
    <w:rsid w:val="0060480D"/>
    <w:rsid w:val="006054F0"/>
    <w:rsid w:val="0060587E"/>
    <w:rsid w:val="006060EF"/>
    <w:rsid w:val="00607ECB"/>
    <w:rsid w:val="00607F42"/>
    <w:rsid w:val="006103A8"/>
    <w:rsid w:val="00610721"/>
    <w:rsid w:val="0061251F"/>
    <w:rsid w:val="00614B4B"/>
    <w:rsid w:val="00614D85"/>
    <w:rsid w:val="00615345"/>
    <w:rsid w:val="0061560B"/>
    <w:rsid w:val="00615DEC"/>
    <w:rsid w:val="0062020F"/>
    <w:rsid w:val="0062235E"/>
    <w:rsid w:val="00623B78"/>
    <w:rsid w:val="00623F1C"/>
    <w:rsid w:val="00624532"/>
    <w:rsid w:val="00625179"/>
    <w:rsid w:val="006267CF"/>
    <w:rsid w:val="00626C9D"/>
    <w:rsid w:val="00627483"/>
    <w:rsid w:val="00627A86"/>
    <w:rsid w:val="00632228"/>
    <w:rsid w:val="006329DC"/>
    <w:rsid w:val="006339E3"/>
    <w:rsid w:val="00635A4E"/>
    <w:rsid w:val="00636355"/>
    <w:rsid w:val="00637190"/>
    <w:rsid w:val="00637597"/>
    <w:rsid w:val="006379D8"/>
    <w:rsid w:val="006407A1"/>
    <w:rsid w:val="006407B1"/>
    <w:rsid w:val="006407B5"/>
    <w:rsid w:val="0064117E"/>
    <w:rsid w:val="00641181"/>
    <w:rsid w:val="00641986"/>
    <w:rsid w:val="00644B71"/>
    <w:rsid w:val="0064630E"/>
    <w:rsid w:val="00646D6E"/>
    <w:rsid w:val="00646F2C"/>
    <w:rsid w:val="00647813"/>
    <w:rsid w:val="00647F70"/>
    <w:rsid w:val="006500E1"/>
    <w:rsid w:val="006505D4"/>
    <w:rsid w:val="00650DEF"/>
    <w:rsid w:val="00651ADE"/>
    <w:rsid w:val="00653062"/>
    <w:rsid w:val="00654779"/>
    <w:rsid w:val="00654ACC"/>
    <w:rsid w:val="006551F5"/>
    <w:rsid w:val="00656E09"/>
    <w:rsid w:val="00657372"/>
    <w:rsid w:val="006607BD"/>
    <w:rsid w:val="00663C55"/>
    <w:rsid w:val="00665F8D"/>
    <w:rsid w:val="0066643C"/>
    <w:rsid w:val="00666870"/>
    <w:rsid w:val="00666CDF"/>
    <w:rsid w:val="006703A0"/>
    <w:rsid w:val="006730FB"/>
    <w:rsid w:val="00673779"/>
    <w:rsid w:val="00675964"/>
    <w:rsid w:val="00676C39"/>
    <w:rsid w:val="00677FA4"/>
    <w:rsid w:val="006822F6"/>
    <w:rsid w:val="0068453A"/>
    <w:rsid w:val="006846B7"/>
    <w:rsid w:val="00684D18"/>
    <w:rsid w:val="006873CA"/>
    <w:rsid w:val="00687E12"/>
    <w:rsid w:val="00687F4F"/>
    <w:rsid w:val="006909EF"/>
    <w:rsid w:val="006937DE"/>
    <w:rsid w:val="00693FD8"/>
    <w:rsid w:val="006953BD"/>
    <w:rsid w:val="00695552"/>
    <w:rsid w:val="00695634"/>
    <w:rsid w:val="0069643B"/>
    <w:rsid w:val="006A088C"/>
    <w:rsid w:val="006A1484"/>
    <w:rsid w:val="006A2CE3"/>
    <w:rsid w:val="006A31BC"/>
    <w:rsid w:val="006A5186"/>
    <w:rsid w:val="006A61E0"/>
    <w:rsid w:val="006B18E5"/>
    <w:rsid w:val="006B1998"/>
    <w:rsid w:val="006B36C6"/>
    <w:rsid w:val="006B4854"/>
    <w:rsid w:val="006B63F7"/>
    <w:rsid w:val="006B6E93"/>
    <w:rsid w:val="006B701C"/>
    <w:rsid w:val="006B791C"/>
    <w:rsid w:val="006B7CBF"/>
    <w:rsid w:val="006C0535"/>
    <w:rsid w:val="006C210F"/>
    <w:rsid w:val="006C2301"/>
    <w:rsid w:val="006C2479"/>
    <w:rsid w:val="006C3CC8"/>
    <w:rsid w:val="006C4D3A"/>
    <w:rsid w:val="006C54D0"/>
    <w:rsid w:val="006C6095"/>
    <w:rsid w:val="006C6A80"/>
    <w:rsid w:val="006C783B"/>
    <w:rsid w:val="006D1593"/>
    <w:rsid w:val="006D21FD"/>
    <w:rsid w:val="006D2532"/>
    <w:rsid w:val="006D296F"/>
    <w:rsid w:val="006D3E92"/>
    <w:rsid w:val="006D6510"/>
    <w:rsid w:val="006D6F42"/>
    <w:rsid w:val="006D7A38"/>
    <w:rsid w:val="006E2252"/>
    <w:rsid w:val="006E24DF"/>
    <w:rsid w:val="006E3DE3"/>
    <w:rsid w:val="006E4DA0"/>
    <w:rsid w:val="006E64D3"/>
    <w:rsid w:val="006F22FD"/>
    <w:rsid w:val="006F3A84"/>
    <w:rsid w:val="006F45D7"/>
    <w:rsid w:val="006F48B1"/>
    <w:rsid w:val="006F4B55"/>
    <w:rsid w:val="006F4E2F"/>
    <w:rsid w:val="006F61B7"/>
    <w:rsid w:val="007004A1"/>
    <w:rsid w:val="00701C1D"/>
    <w:rsid w:val="00701DEE"/>
    <w:rsid w:val="00703098"/>
    <w:rsid w:val="00703A9C"/>
    <w:rsid w:val="00704076"/>
    <w:rsid w:val="0070429A"/>
    <w:rsid w:val="007050BF"/>
    <w:rsid w:val="00706138"/>
    <w:rsid w:val="00711658"/>
    <w:rsid w:val="0071322C"/>
    <w:rsid w:val="00715161"/>
    <w:rsid w:val="00715262"/>
    <w:rsid w:val="00715F4B"/>
    <w:rsid w:val="007161DF"/>
    <w:rsid w:val="00717F3D"/>
    <w:rsid w:val="0072067C"/>
    <w:rsid w:val="00720745"/>
    <w:rsid w:val="00722474"/>
    <w:rsid w:val="00724803"/>
    <w:rsid w:val="007248E5"/>
    <w:rsid w:val="007251B1"/>
    <w:rsid w:val="00725422"/>
    <w:rsid w:val="00726152"/>
    <w:rsid w:val="0072692C"/>
    <w:rsid w:val="00726A55"/>
    <w:rsid w:val="0072757A"/>
    <w:rsid w:val="007335F4"/>
    <w:rsid w:val="00733FFD"/>
    <w:rsid w:val="007347DD"/>
    <w:rsid w:val="00736439"/>
    <w:rsid w:val="0073696D"/>
    <w:rsid w:val="00736DE4"/>
    <w:rsid w:val="00740FBF"/>
    <w:rsid w:val="00742035"/>
    <w:rsid w:val="00742BC4"/>
    <w:rsid w:val="00743ABB"/>
    <w:rsid w:val="00744BFD"/>
    <w:rsid w:val="00747257"/>
    <w:rsid w:val="00747728"/>
    <w:rsid w:val="00747B63"/>
    <w:rsid w:val="00750348"/>
    <w:rsid w:val="007515C0"/>
    <w:rsid w:val="0075279F"/>
    <w:rsid w:val="007529D5"/>
    <w:rsid w:val="00752CE9"/>
    <w:rsid w:val="00753622"/>
    <w:rsid w:val="00753BB3"/>
    <w:rsid w:val="00755BA4"/>
    <w:rsid w:val="0075726C"/>
    <w:rsid w:val="007572A9"/>
    <w:rsid w:val="00757D16"/>
    <w:rsid w:val="00760295"/>
    <w:rsid w:val="00761429"/>
    <w:rsid w:val="00762E3B"/>
    <w:rsid w:val="00762F55"/>
    <w:rsid w:val="007635BC"/>
    <w:rsid w:val="00763C07"/>
    <w:rsid w:val="00765240"/>
    <w:rsid w:val="0076772A"/>
    <w:rsid w:val="007709A3"/>
    <w:rsid w:val="00770EA2"/>
    <w:rsid w:val="00771E35"/>
    <w:rsid w:val="00772440"/>
    <w:rsid w:val="007724CB"/>
    <w:rsid w:val="00773467"/>
    <w:rsid w:val="00773C46"/>
    <w:rsid w:val="00776930"/>
    <w:rsid w:val="007777AA"/>
    <w:rsid w:val="007818C3"/>
    <w:rsid w:val="007825DA"/>
    <w:rsid w:val="00784271"/>
    <w:rsid w:val="0078604D"/>
    <w:rsid w:val="00786924"/>
    <w:rsid w:val="00787414"/>
    <w:rsid w:val="007875C5"/>
    <w:rsid w:val="007876CA"/>
    <w:rsid w:val="0078795D"/>
    <w:rsid w:val="00790C44"/>
    <w:rsid w:val="00791868"/>
    <w:rsid w:val="00793317"/>
    <w:rsid w:val="00794D04"/>
    <w:rsid w:val="007953E2"/>
    <w:rsid w:val="00797821"/>
    <w:rsid w:val="007A33DD"/>
    <w:rsid w:val="007A3A40"/>
    <w:rsid w:val="007A3BD0"/>
    <w:rsid w:val="007A4F8F"/>
    <w:rsid w:val="007A5065"/>
    <w:rsid w:val="007A5A82"/>
    <w:rsid w:val="007A6615"/>
    <w:rsid w:val="007A66EA"/>
    <w:rsid w:val="007B03A1"/>
    <w:rsid w:val="007B0733"/>
    <w:rsid w:val="007B0C1B"/>
    <w:rsid w:val="007B0D21"/>
    <w:rsid w:val="007B425D"/>
    <w:rsid w:val="007B441B"/>
    <w:rsid w:val="007B4452"/>
    <w:rsid w:val="007B4C42"/>
    <w:rsid w:val="007B5788"/>
    <w:rsid w:val="007B5EED"/>
    <w:rsid w:val="007B677B"/>
    <w:rsid w:val="007B7687"/>
    <w:rsid w:val="007C137A"/>
    <w:rsid w:val="007C2F6A"/>
    <w:rsid w:val="007C3C74"/>
    <w:rsid w:val="007C4626"/>
    <w:rsid w:val="007C4902"/>
    <w:rsid w:val="007C5E86"/>
    <w:rsid w:val="007C602D"/>
    <w:rsid w:val="007D0FFA"/>
    <w:rsid w:val="007D15F9"/>
    <w:rsid w:val="007D20FC"/>
    <w:rsid w:val="007D247C"/>
    <w:rsid w:val="007D2692"/>
    <w:rsid w:val="007D2BB1"/>
    <w:rsid w:val="007D3684"/>
    <w:rsid w:val="007D39FA"/>
    <w:rsid w:val="007D5339"/>
    <w:rsid w:val="007D5341"/>
    <w:rsid w:val="007D675F"/>
    <w:rsid w:val="007D6C24"/>
    <w:rsid w:val="007D7F41"/>
    <w:rsid w:val="007E0792"/>
    <w:rsid w:val="007E21A5"/>
    <w:rsid w:val="007E374C"/>
    <w:rsid w:val="007E3DAD"/>
    <w:rsid w:val="007E410D"/>
    <w:rsid w:val="007E506C"/>
    <w:rsid w:val="007E5F20"/>
    <w:rsid w:val="007E7195"/>
    <w:rsid w:val="007F1484"/>
    <w:rsid w:val="007F1723"/>
    <w:rsid w:val="007F328D"/>
    <w:rsid w:val="007F3695"/>
    <w:rsid w:val="007F4315"/>
    <w:rsid w:val="007F5286"/>
    <w:rsid w:val="007F59A2"/>
    <w:rsid w:val="007F610B"/>
    <w:rsid w:val="007F622B"/>
    <w:rsid w:val="007F755B"/>
    <w:rsid w:val="007F797B"/>
    <w:rsid w:val="007F79BE"/>
    <w:rsid w:val="008005AF"/>
    <w:rsid w:val="0080128B"/>
    <w:rsid w:val="008023B2"/>
    <w:rsid w:val="0080395A"/>
    <w:rsid w:val="0080395E"/>
    <w:rsid w:val="00803D4F"/>
    <w:rsid w:val="00806F26"/>
    <w:rsid w:val="00810DA9"/>
    <w:rsid w:val="008135C9"/>
    <w:rsid w:val="00813C7B"/>
    <w:rsid w:val="008149DA"/>
    <w:rsid w:val="0082056D"/>
    <w:rsid w:val="00822A93"/>
    <w:rsid w:val="00822B1C"/>
    <w:rsid w:val="0082300A"/>
    <w:rsid w:val="0082327A"/>
    <w:rsid w:val="00823931"/>
    <w:rsid w:val="00826039"/>
    <w:rsid w:val="00826FC0"/>
    <w:rsid w:val="00831850"/>
    <w:rsid w:val="008329BD"/>
    <w:rsid w:val="00833FF3"/>
    <w:rsid w:val="008340A3"/>
    <w:rsid w:val="00835F08"/>
    <w:rsid w:val="00835FBD"/>
    <w:rsid w:val="00837C55"/>
    <w:rsid w:val="0084080D"/>
    <w:rsid w:val="00841516"/>
    <w:rsid w:val="00841E7E"/>
    <w:rsid w:val="00843368"/>
    <w:rsid w:val="0084480E"/>
    <w:rsid w:val="008450C3"/>
    <w:rsid w:val="0084622C"/>
    <w:rsid w:val="008465D4"/>
    <w:rsid w:val="00846EC3"/>
    <w:rsid w:val="0085007D"/>
    <w:rsid w:val="00853920"/>
    <w:rsid w:val="00854C9F"/>
    <w:rsid w:val="00855F39"/>
    <w:rsid w:val="00856A19"/>
    <w:rsid w:val="00857154"/>
    <w:rsid w:val="008621E7"/>
    <w:rsid w:val="008625B0"/>
    <w:rsid w:val="008625C5"/>
    <w:rsid w:val="00863AA7"/>
    <w:rsid w:val="008656DA"/>
    <w:rsid w:val="00865767"/>
    <w:rsid w:val="00865D30"/>
    <w:rsid w:val="0086724B"/>
    <w:rsid w:val="0087028D"/>
    <w:rsid w:val="00870349"/>
    <w:rsid w:val="0087223F"/>
    <w:rsid w:val="00872A14"/>
    <w:rsid w:val="008751BF"/>
    <w:rsid w:val="00875BAA"/>
    <w:rsid w:val="00875CB0"/>
    <w:rsid w:val="008765BC"/>
    <w:rsid w:val="00876D99"/>
    <w:rsid w:val="00877EEF"/>
    <w:rsid w:val="00880FEF"/>
    <w:rsid w:val="00882BD5"/>
    <w:rsid w:val="0088330D"/>
    <w:rsid w:val="00885AC7"/>
    <w:rsid w:val="008861A7"/>
    <w:rsid w:val="00886C63"/>
    <w:rsid w:val="00886CC3"/>
    <w:rsid w:val="00886EFF"/>
    <w:rsid w:val="0089028D"/>
    <w:rsid w:val="008908C6"/>
    <w:rsid w:val="00890DE9"/>
    <w:rsid w:val="00891DAD"/>
    <w:rsid w:val="00891DFA"/>
    <w:rsid w:val="0089257A"/>
    <w:rsid w:val="00893D3F"/>
    <w:rsid w:val="00894A85"/>
    <w:rsid w:val="0089623D"/>
    <w:rsid w:val="00897FEA"/>
    <w:rsid w:val="008A142E"/>
    <w:rsid w:val="008A15D0"/>
    <w:rsid w:val="008A1736"/>
    <w:rsid w:val="008A1F6A"/>
    <w:rsid w:val="008A462B"/>
    <w:rsid w:val="008A4631"/>
    <w:rsid w:val="008A5A98"/>
    <w:rsid w:val="008A5EE2"/>
    <w:rsid w:val="008B108D"/>
    <w:rsid w:val="008B214F"/>
    <w:rsid w:val="008B23A4"/>
    <w:rsid w:val="008B38E4"/>
    <w:rsid w:val="008B50F6"/>
    <w:rsid w:val="008B542F"/>
    <w:rsid w:val="008B5FE5"/>
    <w:rsid w:val="008B75BD"/>
    <w:rsid w:val="008C2DB3"/>
    <w:rsid w:val="008C362F"/>
    <w:rsid w:val="008C5657"/>
    <w:rsid w:val="008C5FAE"/>
    <w:rsid w:val="008C6FD1"/>
    <w:rsid w:val="008C76C3"/>
    <w:rsid w:val="008C7E36"/>
    <w:rsid w:val="008D27A6"/>
    <w:rsid w:val="008D29D2"/>
    <w:rsid w:val="008D36FE"/>
    <w:rsid w:val="008D4149"/>
    <w:rsid w:val="008D444A"/>
    <w:rsid w:val="008D7055"/>
    <w:rsid w:val="008E0C88"/>
    <w:rsid w:val="008E0E7B"/>
    <w:rsid w:val="008E12CC"/>
    <w:rsid w:val="008E1375"/>
    <w:rsid w:val="008E27DF"/>
    <w:rsid w:val="008E286A"/>
    <w:rsid w:val="008E2D63"/>
    <w:rsid w:val="008E3383"/>
    <w:rsid w:val="008E36F6"/>
    <w:rsid w:val="008E4050"/>
    <w:rsid w:val="008E43CB"/>
    <w:rsid w:val="008E61CD"/>
    <w:rsid w:val="008E6791"/>
    <w:rsid w:val="008E75DD"/>
    <w:rsid w:val="008F07B1"/>
    <w:rsid w:val="008F1728"/>
    <w:rsid w:val="008F1AEF"/>
    <w:rsid w:val="008F20E9"/>
    <w:rsid w:val="008F31D2"/>
    <w:rsid w:val="008F3EFE"/>
    <w:rsid w:val="008F403F"/>
    <w:rsid w:val="008F427E"/>
    <w:rsid w:val="008F43BA"/>
    <w:rsid w:val="00902DCB"/>
    <w:rsid w:val="009033A8"/>
    <w:rsid w:val="00903D69"/>
    <w:rsid w:val="00906F0E"/>
    <w:rsid w:val="00907B22"/>
    <w:rsid w:val="00907CC6"/>
    <w:rsid w:val="00910316"/>
    <w:rsid w:val="0091079C"/>
    <w:rsid w:val="009109B4"/>
    <w:rsid w:val="00910DE9"/>
    <w:rsid w:val="00912C3D"/>
    <w:rsid w:val="00913379"/>
    <w:rsid w:val="00914649"/>
    <w:rsid w:val="00914DCA"/>
    <w:rsid w:val="00915BDC"/>
    <w:rsid w:val="0092045A"/>
    <w:rsid w:val="00920E7B"/>
    <w:rsid w:val="009216C7"/>
    <w:rsid w:val="009218C7"/>
    <w:rsid w:val="00922D4F"/>
    <w:rsid w:val="00925BF8"/>
    <w:rsid w:val="0092609F"/>
    <w:rsid w:val="009264BD"/>
    <w:rsid w:val="009265D8"/>
    <w:rsid w:val="00927AB3"/>
    <w:rsid w:val="00927F14"/>
    <w:rsid w:val="00930332"/>
    <w:rsid w:val="00932368"/>
    <w:rsid w:val="009325CF"/>
    <w:rsid w:val="009332DA"/>
    <w:rsid w:val="00933785"/>
    <w:rsid w:val="00936781"/>
    <w:rsid w:val="00936FF8"/>
    <w:rsid w:val="0093784B"/>
    <w:rsid w:val="0093795B"/>
    <w:rsid w:val="00945924"/>
    <w:rsid w:val="00945E74"/>
    <w:rsid w:val="00946082"/>
    <w:rsid w:val="0094634D"/>
    <w:rsid w:val="009464A7"/>
    <w:rsid w:val="0094709A"/>
    <w:rsid w:val="009515BC"/>
    <w:rsid w:val="0095196B"/>
    <w:rsid w:val="009527B2"/>
    <w:rsid w:val="00952F2D"/>
    <w:rsid w:val="00955226"/>
    <w:rsid w:val="00955483"/>
    <w:rsid w:val="00955569"/>
    <w:rsid w:val="00955B7B"/>
    <w:rsid w:val="00957155"/>
    <w:rsid w:val="0096001F"/>
    <w:rsid w:val="00960231"/>
    <w:rsid w:val="00960541"/>
    <w:rsid w:val="00960736"/>
    <w:rsid w:val="00961D8C"/>
    <w:rsid w:val="00961EE4"/>
    <w:rsid w:val="00962093"/>
    <w:rsid w:val="00962901"/>
    <w:rsid w:val="00962A3A"/>
    <w:rsid w:val="009647B7"/>
    <w:rsid w:val="00964943"/>
    <w:rsid w:val="00965158"/>
    <w:rsid w:val="009651D6"/>
    <w:rsid w:val="009653DF"/>
    <w:rsid w:val="00965BD7"/>
    <w:rsid w:val="00967414"/>
    <w:rsid w:val="00970DB2"/>
    <w:rsid w:val="009716E7"/>
    <w:rsid w:val="00972677"/>
    <w:rsid w:val="009727DC"/>
    <w:rsid w:val="00973560"/>
    <w:rsid w:val="00973BD0"/>
    <w:rsid w:val="00975E1F"/>
    <w:rsid w:val="009804F8"/>
    <w:rsid w:val="00982B2F"/>
    <w:rsid w:val="00984513"/>
    <w:rsid w:val="0098512A"/>
    <w:rsid w:val="00985618"/>
    <w:rsid w:val="00985970"/>
    <w:rsid w:val="00991E87"/>
    <w:rsid w:val="00994F1F"/>
    <w:rsid w:val="00995052"/>
    <w:rsid w:val="00996F87"/>
    <w:rsid w:val="009A050C"/>
    <w:rsid w:val="009A0EB3"/>
    <w:rsid w:val="009A11C4"/>
    <w:rsid w:val="009A14D9"/>
    <w:rsid w:val="009A2A97"/>
    <w:rsid w:val="009A419D"/>
    <w:rsid w:val="009A55EC"/>
    <w:rsid w:val="009A5D50"/>
    <w:rsid w:val="009A5E0C"/>
    <w:rsid w:val="009A60FF"/>
    <w:rsid w:val="009A6465"/>
    <w:rsid w:val="009A6E05"/>
    <w:rsid w:val="009A6E87"/>
    <w:rsid w:val="009B069F"/>
    <w:rsid w:val="009B0D39"/>
    <w:rsid w:val="009B118D"/>
    <w:rsid w:val="009B221B"/>
    <w:rsid w:val="009B3327"/>
    <w:rsid w:val="009B4280"/>
    <w:rsid w:val="009B46A1"/>
    <w:rsid w:val="009B6644"/>
    <w:rsid w:val="009B6E69"/>
    <w:rsid w:val="009B6EE9"/>
    <w:rsid w:val="009B6F51"/>
    <w:rsid w:val="009B7105"/>
    <w:rsid w:val="009C349A"/>
    <w:rsid w:val="009C3D63"/>
    <w:rsid w:val="009C4BB9"/>
    <w:rsid w:val="009C5BD5"/>
    <w:rsid w:val="009C5C71"/>
    <w:rsid w:val="009C6F71"/>
    <w:rsid w:val="009C71E8"/>
    <w:rsid w:val="009C75F1"/>
    <w:rsid w:val="009D1AD6"/>
    <w:rsid w:val="009D379B"/>
    <w:rsid w:val="009D61C7"/>
    <w:rsid w:val="009D7E0A"/>
    <w:rsid w:val="009E08A2"/>
    <w:rsid w:val="009E11AE"/>
    <w:rsid w:val="009E14FD"/>
    <w:rsid w:val="009E15B4"/>
    <w:rsid w:val="009E18B8"/>
    <w:rsid w:val="009E1C34"/>
    <w:rsid w:val="009E28E0"/>
    <w:rsid w:val="009E3416"/>
    <w:rsid w:val="009E4C88"/>
    <w:rsid w:val="009E4F4E"/>
    <w:rsid w:val="009E5009"/>
    <w:rsid w:val="009E61AF"/>
    <w:rsid w:val="009E6B20"/>
    <w:rsid w:val="009E7370"/>
    <w:rsid w:val="009E79D9"/>
    <w:rsid w:val="009F3E54"/>
    <w:rsid w:val="009F4EDB"/>
    <w:rsid w:val="009F6918"/>
    <w:rsid w:val="009F6B93"/>
    <w:rsid w:val="009F6F66"/>
    <w:rsid w:val="00A00E13"/>
    <w:rsid w:val="00A01A6C"/>
    <w:rsid w:val="00A01FDA"/>
    <w:rsid w:val="00A03408"/>
    <w:rsid w:val="00A037BD"/>
    <w:rsid w:val="00A03DA2"/>
    <w:rsid w:val="00A048D9"/>
    <w:rsid w:val="00A0576A"/>
    <w:rsid w:val="00A067A4"/>
    <w:rsid w:val="00A07B16"/>
    <w:rsid w:val="00A07B6F"/>
    <w:rsid w:val="00A07BD1"/>
    <w:rsid w:val="00A07C6C"/>
    <w:rsid w:val="00A101A7"/>
    <w:rsid w:val="00A11507"/>
    <w:rsid w:val="00A11D38"/>
    <w:rsid w:val="00A126D2"/>
    <w:rsid w:val="00A155B2"/>
    <w:rsid w:val="00A15F15"/>
    <w:rsid w:val="00A205A7"/>
    <w:rsid w:val="00A20C55"/>
    <w:rsid w:val="00A2176F"/>
    <w:rsid w:val="00A22A0E"/>
    <w:rsid w:val="00A22B74"/>
    <w:rsid w:val="00A232B7"/>
    <w:rsid w:val="00A248B9"/>
    <w:rsid w:val="00A248EA"/>
    <w:rsid w:val="00A26E80"/>
    <w:rsid w:val="00A27298"/>
    <w:rsid w:val="00A279F6"/>
    <w:rsid w:val="00A27A78"/>
    <w:rsid w:val="00A31265"/>
    <w:rsid w:val="00A32C3D"/>
    <w:rsid w:val="00A336B9"/>
    <w:rsid w:val="00A34D68"/>
    <w:rsid w:val="00A36873"/>
    <w:rsid w:val="00A36E86"/>
    <w:rsid w:val="00A37729"/>
    <w:rsid w:val="00A43745"/>
    <w:rsid w:val="00A45412"/>
    <w:rsid w:val="00A50B02"/>
    <w:rsid w:val="00A50BF8"/>
    <w:rsid w:val="00A51D78"/>
    <w:rsid w:val="00A538EA"/>
    <w:rsid w:val="00A539B8"/>
    <w:rsid w:val="00A53A32"/>
    <w:rsid w:val="00A5517E"/>
    <w:rsid w:val="00A57D08"/>
    <w:rsid w:val="00A57E26"/>
    <w:rsid w:val="00A60E1A"/>
    <w:rsid w:val="00A62077"/>
    <w:rsid w:val="00A625B4"/>
    <w:rsid w:val="00A627DA"/>
    <w:rsid w:val="00A634F1"/>
    <w:rsid w:val="00A6350F"/>
    <w:rsid w:val="00A66A10"/>
    <w:rsid w:val="00A71982"/>
    <w:rsid w:val="00A721F9"/>
    <w:rsid w:val="00A733E4"/>
    <w:rsid w:val="00A74688"/>
    <w:rsid w:val="00A75B48"/>
    <w:rsid w:val="00A76F1B"/>
    <w:rsid w:val="00A81034"/>
    <w:rsid w:val="00A81FC8"/>
    <w:rsid w:val="00A825CE"/>
    <w:rsid w:val="00A82ED9"/>
    <w:rsid w:val="00A84931"/>
    <w:rsid w:val="00A84B8E"/>
    <w:rsid w:val="00A856B9"/>
    <w:rsid w:val="00A863E0"/>
    <w:rsid w:val="00A86C0E"/>
    <w:rsid w:val="00A86D2F"/>
    <w:rsid w:val="00A87BFB"/>
    <w:rsid w:val="00A9009E"/>
    <w:rsid w:val="00A90D89"/>
    <w:rsid w:val="00A91D0E"/>
    <w:rsid w:val="00A9292B"/>
    <w:rsid w:val="00A92AB3"/>
    <w:rsid w:val="00A935DA"/>
    <w:rsid w:val="00A93957"/>
    <w:rsid w:val="00A94754"/>
    <w:rsid w:val="00A94DF9"/>
    <w:rsid w:val="00A9657B"/>
    <w:rsid w:val="00A97BE7"/>
    <w:rsid w:val="00AA1770"/>
    <w:rsid w:val="00AA1A32"/>
    <w:rsid w:val="00AA2003"/>
    <w:rsid w:val="00AA229C"/>
    <w:rsid w:val="00AA28F3"/>
    <w:rsid w:val="00AA433C"/>
    <w:rsid w:val="00AA750F"/>
    <w:rsid w:val="00AB1229"/>
    <w:rsid w:val="00AB207F"/>
    <w:rsid w:val="00AB493D"/>
    <w:rsid w:val="00AB5F69"/>
    <w:rsid w:val="00AB7F2A"/>
    <w:rsid w:val="00AC0DB7"/>
    <w:rsid w:val="00AC1DFB"/>
    <w:rsid w:val="00AC2857"/>
    <w:rsid w:val="00AC35E7"/>
    <w:rsid w:val="00AC385B"/>
    <w:rsid w:val="00AC75DB"/>
    <w:rsid w:val="00AC7EFB"/>
    <w:rsid w:val="00AD0947"/>
    <w:rsid w:val="00AD290C"/>
    <w:rsid w:val="00AD7695"/>
    <w:rsid w:val="00AE0272"/>
    <w:rsid w:val="00AE1BA3"/>
    <w:rsid w:val="00AE1D3D"/>
    <w:rsid w:val="00AE22C2"/>
    <w:rsid w:val="00AE2E3E"/>
    <w:rsid w:val="00AE3255"/>
    <w:rsid w:val="00AE4D57"/>
    <w:rsid w:val="00AE541A"/>
    <w:rsid w:val="00AE56E0"/>
    <w:rsid w:val="00AE7575"/>
    <w:rsid w:val="00AF1CA4"/>
    <w:rsid w:val="00AF1CB1"/>
    <w:rsid w:val="00AF2168"/>
    <w:rsid w:val="00AF24FA"/>
    <w:rsid w:val="00AF363D"/>
    <w:rsid w:val="00AF4750"/>
    <w:rsid w:val="00AF603D"/>
    <w:rsid w:val="00AF67EE"/>
    <w:rsid w:val="00AF6C11"/>
    <w:rsid w:val="00B00561"/>
    <w:rsid w:val="00B0264E"/>
    <w:rsid w:val="00B03836"/>
    <w:rsid w:val="00B04CFA"/>
    <w:rsid w:val="00B0506A"/>
    <w:rsid w:val="00B07EC0"/>
    <w:rsid w:val="00B1117F"/>
    <w:rsid w:val="00B113F1"/>
    <w:rsid w:val="00B12E1D"/>
    <w:rsid w:val="00B139BF"/>
    <w:rsid w:val="00B152A7"/>
    <w:rsid w:val="00B1759C"/>
    <w:rsid w:val="00B20D7C"/>
    <w:rsid w:val="00B2197E"/>
    <w:rsid w:val="00B21B31"/>
    <w:rsid w:val="00B21FB5"/>
    <w:rsid w:val="00B22336"/>
    <w:rsid w:val="00B228F5"/>
    <w:rsid w:val="00B237B8"/>
    <w:rsid w:val="00B23A44"/>
    <w:rsid w:val="00B2486B"/>
    <w:rsid w:val="00B2698E"/>
    <w:rsid w:val="00B30B9B"/>
    <w:rsid w:val="00B316B1"/>
    <w:rsid w:val="00B32152"/>
    <w:rsid w:val="00B32242"/>
    <w:rsid w:val="00B33A29"/>
    <w:rsid w:val="00B344D9"/>
    <w:rsid w:val="00B34536"/>
    <w:rsid w:val="00B35833"/>
    <w:rsid w:val="00B362E1"/>
    <w:rsid w:val="00B37E9E"/>
    <w:rsid w:val="00B4000E"/>
    <w:rsid w:val="00B41787"/>
    <w:rsid w:val="00B417EA"/>
    <w:rsid w:val="00B42C32"/>
    <w:rsid w:val="00B442D8"/>
    <w:rsid w:val="00B44C49"/>
    <w:rsid w:val="00B4630D"/>
    <w:rsid w:val="00B469BE"/>
    <w:rsid w:val="00B4752B"/>
    <w:rsid w:val="00B503D8"/>
    <w:rsid w:val="00B50C02"/>
    <w:rsid w:val="00B51BC4"/>
    <w:rsid w:val="00B532D1"/>
    <w:rsid w:val="00B53ECA"/>
    <w:rsid w:val="00B548FC"/>
    <w:rsid w:val="00B5553F"/>
    <w:rsid w:val="00B56BDF"/>
    <w:rsid w:val="00B57BA8"/>
    <w:rsid w:val="00B609AB"/>
    <w:rsid w:val="00B60B6A"/>
    <w:rsid w:val="00B61436"/>
    <w:rsid w:val="00B62839"/>
    <w:rsid w:val="00B62C99"/>
    <w:rsid w:val="00B653F6"/>
    <w:rsid w:val="00B66DC3"/>
    <w:rsid w:val="00B66F6C"/>
    <w:rsid w:val="00B67F31"/>
    <w:rsid w:val="00B70319"/>
    <w:rsid w:val="00B70DC3"/>
    <w:rsid w:val="00B71A7B"/>
    <w:rsid w:val="00B724CA"/>
    <w:rsid w:val="00B74BFB"/>
    <w:rsid w:val="00B74C36"/>
    <w:rsid w:val="00B75071"/>
    <w:rsid w:val="00B757CF"/>
    <w:rsid w:val="00B75F83"/>
    <w:rsid w:val="00B76202"/>
    <w:rsid w:val="00B76F59"/>
    <w:rsid w:val="00B8091E"/>
    <w:rsid w:val="00B8127D"/>
    <w:rsid w:val="00B8131B"/>
    <w:rsid w:val="00B816AD"/>
    <w:rsid w:val="00B825E0"/>
    <w:rsid w:val="00B8369B"/>
    <w:rsid w:val="00B847EA"/>
    <w:rsid w:val="00B85190"/>
    <w:rsid w:val="00B85B27"/>
    <w:rsid w:val="00B863A8"/>
    <w:rsid w:val="00B865D5"/>
    <w:rsid w:val="00B86E99"/>
    <w:rsid w:val="00B8773F"/>
    <w:rsid w:val="00B87D5E"/>
    <w:rsid w:val="00B92343"/>
    <w:rsid w:val="00B924C2"/>
    <w:rsid w:val="00B932DA"/>
    <w:rsid w:val="00B9372D"/>
    <w:rsid w:val="00B94288"/>
    <w:rsid w:val="00B95790"/>
    <w:rsid w:val="00B95DBE"/>
    <w:rsid w:val="00B96B6F"/>
    <w:rsid w:val="00B96FE5"/>
    <w:rsid w:val="00BA211F"/>
    <w:rsid w:val="00BA37AC"/>
    <w:rsid w:val="00BB1F0D"/>
    <w:rsid w:val="00BB211F"/>
    <w:rsid w:val="00BB2B14"/>
    <w:rsid w:val="00BB2F99"/>
    <w:rsid w:val="00BB42BC"/>
    <w:rsid w:val="00BB68BB"/>
    <w:rsid w:val="00BB779A"/>
    <w:rsid w:val="00BC0683"/>
    <w:rsid w:val="00BC0795"/>
    <w:rsid w:val="00BC304B"/>
    <w:rsid w:val="00BC3CB7"/>
    <w:rsid w:val="00BC3F6E"/>
    <w:rsid w:val="00BC4867"/>
    <w:rsid w:val="00BC4A74"/>
    <w:rsid w:val="00BC4EEB"/>
    <w:rsid w:val="00BC514C"/>
    <w:rsid w:val="00BC5687"/>
    <w:rsid w:val="00BC5833"/>
    <w:rsid w:val="00BC65A9"/>
    <w:rsid w:val="00BC70AC"/>
    <w:rsid w:val="00BC7EFE"/>
    <w:rsid w:val="00BD0EDA"/>
    <w:rsid w:val="00BD1EF4"/>
    <w:rsid w:val="00BD1FD0"/>
    <w:rsid w:val="00BD287D"/>
    <w:rsid w:val="00BD5820"/>
    <w:rsid w:val="00BD5C0C"/>
    <w:rsid w:val="00BD65B0"/>
    <w:rsid w:val="00BD703A"/>
    <w:rsid w:val="00BD70D6"/>
    <w:rsid w:val="00BE0974"/>
    <w:rsid w:val="00BE0D25"/>
    <w:rsid w:val="00BE10CC"/>
    <w:rsid w:val="00BE13FE"/>
    <w:rsid w:val="00BE17EA"/>
    <w:rsid w:val="00BE48D1"/>
    <w:rsid w:val="00BE52E1"/>
    <w:rsid w:val="00BE583B"/>
    <w:rsid w:val="00BE6040"/>
    <w:rsid w:val="00BE703F"/>
    <w:rsid w:val="00BF0DA4"/>
    <w:rsid w:val="00BF2CAA"/>
    <w:rsid w:val="00BF306F"/>
    <w:rsid w:val="00BF32F6"/>
    <w:rsid w:val="00BF35B4"/>
    <w:rsid w:val="00BF4404"/>
    <w:rsid w:val="00BF58AC"/>
    <w:rsid w:val="00C00431"/>
    <w:rsid w:val="00C00C76"/>
    <w:rsid w:val="00C035EE"/>
    <w:rsid w:val="00C03F4C"/>
    <w:rsid w:val="00C06955"/>
    <w:rsid w:val="00C07E95"/>
    <w:rsid w:val="00C10CC8"/>
    <w:rsid w:val="00C10FF5"/>
    <w:rsid w:val="00C11B30"/>
    <w:rsid w:val="00C11B97"/>
    <w:rsid w:val="00C13B0C"/>
    <w:rsid w:val="00C14248"/>
    <w:rsid w:val="00C15B26"/>
    <w:rsid w:val="00C15FA3"/>
    <w:rsid w:val="00C1654A"/>
    <w:rsid w:val="00C173DC"/>
    <w:rsid w:val="00C20077"/>
    <w:rsid w:val="00C20224"/>
    <w:rsid w:val="00C21CF4"/>
    <w:rsid w:val="00C22426"/>
    <w:rsid w:val="00C24C2A"/>
    <w:rsid w:val="00C25B0B"/>
    <w:rsid w:val="00C271E5"/>
    <w:rsid w:val="00C27949"/>
    <w:rsid w:val="00C27DE1"/>
    <w:rsid w:val="00C30769"/>
    <w:rsid w:val="00C32E74"/>
    <w:rsid w:val="00C330D5"/>
    <w:rsid w:val="00C362C4"/>
    <w:rsid w:val="00C36452"/>
    <w:rsid w:val="00C3739C"/>
    <w:rsid w:val="00C40B02"/>
    <w:rsid w:val="00C4361D"/>
    <w:rsid w:val="00C44385"/>
    <w:rsid w:val="00C44941"/>
    <w:rsid w:val="00C44A4F"/>
    <w:rsid w:val="00C44EA8"/>
    <w:rsid w:val="00C45522"/>
    <w:rsid w:val="00C45DFA"/>
    <w:rsid w:val="00C46D2F"/>
    <w:rsid w:val="00C476DE"/>
    <w:rsid w:val="00C50128"/>
    <w:rsid w:val="00C51526"/>
    <w:rsid w:val="00C51D71"/>
    <w:rsid w:val="00C52B2D"/>
    <w:rsid w:val="00C52D20"/>
    <w:rsid w:val="00C53498"/>
    <w:rsid w:val="00C53DE4"/>
    <w:rsid w:val="00C54397"/>
    <w:rsid w:val="00C54623"/>
    <w:rsid w:val="00C5493C"/>
    <w:rsid w:val="00C54D6B"/>
    <w:rsid w:val="00C55A89"/>
    <w:rsid w:val="00C561F6"/>
    <w:rsid w:val="00C5654E"/>
    <w:rsid w:val="00C566DB"/>
    <w:rsid w:val="00C576DC"/>
    <w:rsid w:val="00C57F6B"/>
    <w:rsid w:val="00C6068D"/>
    <w:rsid w:val="00C60FAD"/>
    <w:rsid w:val="00C610AB"/>
    <w:rsid w:val="00C61E42"/>
    <w:rsid w:val="00C63BFC"/>
    <w:rsid w:val="00C67475"/>
    <w:rsid w:val="00C67E4C"/>
    <w:rsid w:val="00C70C1B"/>
    <w:rsid w:val="00C70FB3"/>
    <w:rsid w:val="00C71402"/>
    <w:rsid w:val="00C72D90"/>
    <w:rsid w:val="00C732C1"/>
    <w:rsid w:val="00C751D6"/>
    <w:rsid w:val="00C75C51"/>
    <w:rsid w:val="00C818C8"/>
    <w:rsid w:val="00C81CE9"/>
    <w:rsid w:val="00C81D0B"/>
    <w:rsid w:val="00C825A3"/>
    <w:rsid w:val="00C83126"/>
    <w:rsid w:val="00C8346E"/>
    <w:rsid w:val="00C84CB3"/>
    <w:rsid w:val="00C87468"/>
    <w:rsid w:val="00C9161A"/>
    <w:rsid w:val="00C91AEE"/>
    <w:rsid w:val="00C9258A"/>
    <w:rsid w:val="00C96287"/>
    <w:rsid w:val="00C96698"/>
    <w:rsid w:val="00C967DE"/>
    <w:rsid w:val="00C973AF"/>
    <w:rsid w:val="00C97CE9"/>
    <w:rsid w:val="00CA0428"/>
    <w:rsid w:val="00CA17FC"/>
    <w:rsid w:val="00CA2EDB"/>
    <w:rsid w:val="00CA32B6"/>
    <w:rsid w:val="00CA399D"/>
    <w:rsid w:val="00CA4427"/>
    <w:rsid w:val="00CA49A0"/>
    <w:rsid w:val="00CA554B"/>
    <w:rsid w:val="00CA6F4C"/>
    <w:rsid w:val="00CB00AF"/>
    <w:rsid w:val="00CB0C3D"/>
    <w:rsid w:val="00CB1446"/>
    <w:rsid w:val="00CB2A6E"/>
    <w:rsid w:val="00CB2D4B"/>
    <w:rsid w:val="00CB425C"/>
    <w:rsid w:val="00CB4ADD"/>
    <w:rsid w:val="00CB5D43"/>
    <w:rsid w:val="00CB7246"/>
    <w:rsid w:val="00CC083D"/>
    <w:rsid w:val="00CC10F6"/>
    <w:rsid w:val="00CC1381"/>
    <w:rsid w:val="00CC23D8"/>
    <w:rsid w:val="00CC4F33"/>
    <w:rsid w:val="00CC6382"/>
    <w:rsid w:val="00CC731B"/>
    <w:rsid w:val="00CC7C7A"/>
    <w:rsid w:val="00CD0461"/>
    <w:rsid w:val="00CD1ABA"/>
    <w:rsid w:val="00CD2179"/>
    <w:rsid w:val="00CD2502"/>
    <w:rsid w:val="00CD38BE"/>
    <w:rsid w:val="00CD686F"/>
    <w:rsid w:val="00CD6A65"/>
    <w:rsid w:val="00CD6EFF"/>
    <w:rsid w:val="00CE1868"/>
    <w:rsid w:val="00CE217A"/>
    <w:rsid w:val="00CE50E4"/>
    <w:rsid w:val="00CE7667"/>
    <w:rsid w:val="00CF0513"/>
    <w:rsid w:val="00CF0C83"/>
    <w:rsid w:val="00CF2C04"/>
    <w:rsid w:val="00CF45D2"/>
    <w:rsid w:val="00CF5254"/>
    <w:rsid w:val="00CF588E"/>
    <w:rsid w:val="00CF6484"/>
    <w:rsid w:val="00CF75D7"/>
    <w:rsid w:val="00CF7A5C"/>
    <w:rsid w:val="00D02F6B"/>
    <w:rsid w:val="00D0314D"/>
    <w:rsid w:val="00D04AEE"/>
    <w:rsid w:val="00D10487"/>
    <w:rsid w:val="00D15179"/>
    <w:rsid w:val="00D165C4"/>
    <w:rsid w:val="00D229BF"/>
    <w:rsid w:val="00D22F82"/>
    <w:rsid w:val="00D2465D"/>
    <w:rsid w:val="00D24AF5"/>
    <w:rsid w:val="00D2610A"/>
    <w:rsid w:val="00D267F8"/>
    <w:rsid w:val="00D27AEE"/>
    <w:rsid w:val="00D312AA"/>
    <w:rsid w:val="00D31724"/>
    <w:rsid w:val="00D33232"/>
    <w:rsid w:val="00D3362A"/>
    <w:rsid w:val="00D33D8D"/>
    <w:rsid w:val="00D33F49"/>
    <w:rsid w:val="00D34878"/>
    <w:rsid w:val="00D36C1A"/>
    <w:rsid w:val="00D37B02"/>
    <w:rsid w:val="00D420AD"/>
    <w:rsid w:val="00D436CF"/>
    <w:rsid w:val="00D442BC"/>
    <w:rsid w:val="00D4460D"/>
    <w:rsid w:val="00D4DE77"/>
    <w:rsid w:val="00D52694"/>
    <w:rsid w:val="00D529B4"/>
    <w:rsid w:val="00D52CAD"/>
    <w:rsid w:val="00D53947"/>
    <w:rsid w:val="00D57A7E"/>
    <w:rsid w:val="00D60450"/>
    <w:rsid w:val="00D6077F"/>
    <w:rsid w:val="00D60CB0"/>
    <w:rsid w:val="00D61AD4"/>
    <w:rsid w:val="00D66181"/>
    <w:rsid w:val="00D66B0F"/>
    <w:rsid w:val="00D676E0"/>
    <w:rsid w:val="00D7094F"/>
    <w:rsid w:val="00D72DDC"/>
    <w:rsid w:val="00D75ECD"/>
    <w:rsid w:val="00D80EC1"/>
    <w:rsid w:val="00D8133E"/>
    <w:rsid w:val="00D81F36"/>
    <w:rsid w:val="00D830DD"/>
    <w:rsid w:val="00D831F1"/>
    <w:rsid w:val="00D87BE4"/>
    <w:rsid w:val="00D91613"/>
    <w:rsid w:val="00D91984"/>
    <w:rsid w:val="00D91E65"/>
    <w:rsid w:val="00D922F2"/>
    <w:rsid w:val="00D93030"/>
    <w:rsid w:val="00D9367B"/>
    <w:rsid w:val="00D93A2C"/>
    <w:rsid w:val="00D93E93"/>
    <w:rsid w:val="00D9478D"/>
    <w:rsid w:val="00D94972"/>
    <w:rsid w:val="00D9587D"/>
    <w:rsid w:val="00D96990"/>
    <w:rsid w:val="00DA01CF"/>
    <w:rsid w:val="00DA1750"/>
    <w:rsid w:val="00DA2B65"/>
    <w:rsid w:val="00DA473D"/>
    <w:rsid w:val="00DA4A1F"/>
    <w:rsid w:val="00DA4A75"/>
    <w:rsid w:val="00DA4E20"/>
    <w:rsid w:val="00DA6A14"/>
    <w:rsid w:val="00DA7623"/>
    <w:rsid w:val="00DA782B"/>
    <w:rsid w:val="00DB2113"/>
    <w:rsid w:val="00DB42C9"/>
    <w:rsid w:val="00DB4D75"/>
    <w:rsid w:val="00DB566A"/>
    <w:rsid w:val="00DB6C8F"/>
    <w:rsid w:val="00DB7A18"/>
    <w:rsid w:val="00DB7A9D"/>
    <w:rsid w:val="00DC18EF"/>
    <w:rsid w:val="00DC19B2"/>
    <w:rsid w:val="00DC1D41"/>
    <w:rsid w:val="00DC3141"/>
    <w:rsid w:val="00DC3E08"/>
    <w:rsid w:val="00DC40A9"/>
    <w:rsid w:val="00DC41AD"/>
    <w:rsid w:val="00DC46C3"/>
    <w:rsid w:val="00DC68D4"/>
    <w:rsid w:val="00DC750B"/>
    <w:rsid w:val="00DD0424"/>
    <w:rsid w:val="00DD085C"/>
    <w:rsid w:val="00DD12F7"/>
    <w:rsid w:val="00DD1C7B"/>
    <w:rsid w:val="00DD3CA9"/>
    <w:rsid w:val="00DD4C61"/>
    <w:rsid w:val="00DD4CB2"/>
    <w:rsid w:val="00DD51FB"/>
    <w:rsid w:val="00DD55A8"/>
    <w:rsid w:val="00DE097E"/>
    <w:rsid w:val="00DE125B"/>
    <w:rsid w:val="00DE1704"/>
    <w:rsid w:val="00DE23AE"/>
    <w:rsid w:val="00DE321C"/>
    <w:rsid w:val="00DE463B"/>
    <w:rsid w:val="00DE694A"/>
    <w:rsid w:val="00DE6EE7"/>
    <w:rsid w:val="00DE7636"/>
    <w:rsid w:val="00DE777D"/>
    <w:rsid w:val="00DF112F"/>
    <w:rsid w:val="00DF2501"/>
    <w:rsid w:val="00DF307D"/>
    <w:rsid w:val="00DF3490"/>
    <w:rsid w:val="00DF34E8"/>
    <w:rsid w:val="00DF4971"/>
    <w:rsid w:val="00DF60F9"/>
    <w:rsid w:val="00E00B2C"/>
    <w:rsid w:val="00E00D35"/>
    <w:rsid w:val="00E00EFD"/>
    <w:rsid w:val="00E01209"/>
    <w:rsid w:val="00E014EC"/>
    <w:rsid w:val="00E02A8A"/>
    <w:rsid w:val="00E0550F"/>
    <w:rsid w:val="00E05775"/>
    <w:rsid w:val="00E05AC2"/>
    <w:rsid w:val="00E05CE4"/>
    <w:rsid w:val="00E05EE0"/>
    <w:rsid w:val="00E07553"/>
    <w:rsid w:val="00E1060A"/>
    <w:rsid w:val="00E10D36"/>
    <w:rsid w:val="00E10DEB"/>
    <w:rsid w:val="00E11336"/>
    <w:rsid w:val="00E12762"/>
    <w:rsid w:val="00E147D8"/>
    <w:rsid w:val="00E149A2"/>
    <w:rsid w:val="00E15008"/>
    <w:rsid w:val="00E15165"/>
    <w:rsid w:val="00E17212"/>
    <w:rsid w:val="00E1733B"/>
    <w:rsid w:val="00E1748F"/>
    <w:rsid w:val="00E174FC"/>
    <w:rsid w:val="00E17D1E"/>
    <w:rsid w:val="00E21E62"/>
    <w:rsid w:val="00E22BAA"/>
    <w:rsid w:val="00E26467"/>
    <w:rsid w:val="00E30DCF"/>
    <w:rsid w:val="00E30F48"/>
    <w:rsid w:val="00E320B4"/>
    <w:rsid w:val="00E3284C"/>
    <w:rsid w:val="00E33567"/>
    <w:rsid w:val="00E347FC"/>
    <w:rsid w:val="00E34893"/>
    <w:rsid w:val="00E34EF0"/>
    <w:rsid w:val="00E35EA5"/>
    <w:rsid w:val="00E36C5D"/>
    <w:rsid w:val="00E37259"/>
    <w:rsid w:val="00E40E97"/>
    <w:rsid w:val="00E41489"/>
    <w:rsid w:val="00E41561"/>
    <w:rsid w:val="00E419FF"/>
    <w:rsid w:val="00E4509D"/>
    <w:rsid w:val="00E456B4"/>
    <w:rsid w:val="00E457B4"/>
    <w:rsid w:val="00E45DF7"/>
    <w:rsid w:val="00E4603F"/>
    <w:rsid w:val="00E47759"/>
    <w:rsid w:val="00E53373"/>
    <w:rsid w:val="00E53F97"/>
    <w:rsid w:val="00E55522"/>
    <w:rsid w:val="00E5731E"/>
    <w:rsid w:val="00E609AB"/>
    <w:rsid w:val="00E6140A"/>
    <w:rsid w:val="00E618D1"/>
    <w:rsid w:val="00E61F4D"/>
    <w:rsid w:val="00E64A3F"/>
    <w:rsid w:val="00E65BBB"/>
    <w:rsid w:val="00E675DB"/>
    <w:rsid w:val="00E67872"/>
    <w:rsid w:val="00E72736"/>
    <w:rsid w:val="00E73C79"/>
    <w:rsid w:val="00E73DCD"/>
    <w:rsid w:val="00E743D9"/>
    <w:rsid w:val="00E74A3A"/>
    <w:rsid w:val="00E7730B"/>
    <w:rsid w:val="00E779A3"/>
    <w:rsid w:val="00E811E6"/>
    <w:rsid w:val="00E8136F"/>
    <w:rsid w:val="00E8202D"/>
    <w:rsid w:val="00E855FA"/>
    <w:rsid w:val="00E86FA5"/>
    <w:rsid w:val="00E87C60"/>
    <w:rsid w:val="00E916E3"/>
    <w:rsid w:val="00E91AF9"/>
    <w:rsid w:val="00E9324D"/>
    <w:rsid w:val="00E9344A"/>
    <w:rsid w:val="00E93859"/>
    <w:rsid w:val="00E941B7"/>
    <w:rsid w:val="00E978E6"/>
    <w:rsid w:val="00EA19D8"/>
    <w:rsid w:val="00EA3638"/>
    <w:rsid w:val="00EA4181"/>
    <w:rsid w:val="00EA4B1A"/>
    <w:rsid w:val="00EA53EA"/>
    <w:rsid w:val="00EA5E3B"/>
    <w:rsid w:val="00EA6D0C"/>
    <w:rsid w:val="00EB04E6"/>
    <w:rsid w:val="00EB1673"/>
    <w:rsid w:val="00EB27E3"/>
    <w:rsid w:val="00EB3CCD"/>
    <w:rsid w:val="00EB539A"/>
    <w:rsid w:val="00EB5F5D"/>
    <w:rsid w:val="00EB74B9"/>
    <w:rsid w:val="00EB7770"/>
    <w:rsid w:val="00EC01DD"/>
    <w:rsid w:val="00EC05EA"/>
    <w:rsid w:val="00EC1C83"/>
    <w:rsid w:val="00EC36B8"/>
    <w:rsid w:val="00EC5CEB"/>
    <w:rsid w:val="00EC6119"/>
    <w:rsid w:val="00EC6EC0"/>
    <w:rsid w:val="00EC7EC7"/>
    <w:rsid w:val="00ED11BF"/>
    <w:rsid w:val="00ED4B6D"/>
    <w:rsid w:val="00ED575D"/>
    <w:rsid w:val="00ED57B1"/>
    <w:rsid w:val="00ED62AC"/>
    <w:rsid w:val="00ED671F"/>
    <w:rsid w:val="00EE0F7B"/>
    <w:rsid w:val="00EE1AD9"/>
    <w:rsid w:val="00EE1CBF"/>
    <w:rsid w:val="00EE1E22"/>
    <w:rsid w:val="00EE2929"/>
    <w:rsid w:val="00EE3113"/>
    <w:rsid w:val="00EE33EF"/>
    <w:rsid w:val="00EE4A3B"/>
    <w:rsid w:val="00EE4CAC"/>
    <w:rsid w:val="00EE618C"/>
    <w:rsid w:val="00EE7536"/>
    <w:rsid w:val="00EE7658"/>
    <w:rsid w:val="00EF2C69"/>
    <w:rsid w:val="00EF4DE3"/>
    <w:rsid w:val="00EF4F56"/>
    <w:rsid w:val="00EF5474"/>
    <w:rsid w:val="00EF72A4"/>
    <w:rsid w:val="00EF7473"/>
    <w:rsid w:val="00F01162"/>
    <w:rsid w:val="00F0121B"/>
    <w:rsid w:val="00F01231"/>
    <w:rsid w:val="00F01426"/>
    <w:rsid w:val="00F01479"/>
    <w:rsid w:val="00F0182A"/>
    <w:rsid w:val="00F01838"/>
    <w:rsid w:val="00F01DC7"/>
    <w:rsid w:val="00F02552"/>
    <w:rsid w:val="00F038A3"/>
    <w:rsid w:val="00F04195"/>
    <w:rsid w:val="00F0440D"/>
    <w:rsid w:val="00F048D4"/>
    <w:rsid w:val="00F06D39"/>
    <w:rsid w:val="00F101AB"/>
    <w:rsid w:val="00F10676"/>
    <w:rsid w:val="00F10982"/>
    <w:rsid w:val="00F1215B"/>
    <w:rsid w:val="00F13B32"/>
    <w:rsid w:val="00F13DE7"/>
    <w:rsid w:val="00F15D0E"/>
    <w:rsid w:val="00F15D1B"/>
    <w:rsid w:val="00F21C1E"/>
    <w:rsid w:val="00F22598"/>
    <w:rsid w:val="00F22B00"/>
    <w:rsid w:val="00F23659"/>
    <w:rsid w:val="00F23BC4"/>
    <w:rsid w:val="00F24DDB"/>
    <w:rsid w:val="00F24F18"/>
    <w:rsid w:val="00F305AA"/>
    <w:rsid w:val="00F30E7E"/>
    <w:rsid w:val="00F31BCE"/>
    <w:rsid w:val="00F33498"/>
    <w:rsid w:val="00F335AE"/>
    <w:rsid w:val="00F345A1"/>
    <w:rsid w:val="00F35FAB"/>
    <w:rsid w:val="00F3636B"/>
    <w:rsid w:val="00F364E2"/>
    <w:rsid w:val="00F37AFB"/>
    <w:rsid w:val="00F40A6E"/>
    <w:rsid w:val="00F41511"/>
    <w:rsid w:val="00F42219"/>
    <w:rsid w:val="00F4524A"/>
    <w:rsid w:val="00F4551E"/>
    <w:rsid w:val="00F45C7E"/>
    <w:rsid w:val="00F467A2"/>
    <w:rsid w:val="00F468E0"/>
    <w:rsid w:val="00F501CB"/>
    <w:rsid w:val="00F5110E"/>
    <w:rsid w:val="00F5135C"/>
    <w:rsid w:val="00F51F98"/>
    <w:rsid w:val="00F52BE2"/>
    <w:rsid w:val="00F52CD4"/>
    <w:rsid w:val="00F54204"/>
    <w:rsid w:val="00F56410"/>
    <w:rsid w:val="00F57E4C"/>
    <w:rsid w:val="00F60288"/>
    <w:rsid w:val="00F60C3B"/>
    <w:rsid w:val="00F61E97"/>
    <w:rsid w:val="00F62002"/>
    <w:rsid w:val="00F62BA8"/>
    <w:rsid w:val="00F62D9D"/>
    <w:rsid w:val="00F630A4"/>
    <w:rsid w:val="00F640D8"/>
    <w:rsid w:val="00F70477"/>
    <w:rsid w:val="00F70C82"/>
    <w:rsid w:val="00F72746"/>
    <w:rsid w:val="00F7307A"/>
    <w:rsid w:val="00F7441B"/>
    <w:rsid w:val="00F7592B"/>
    <w:rsid w:val="00F7596B"/>
    <w:rsid w:val="00F75C12"/>
    <w:rsid w:val="00F76326"/>
    <w:rsid w:val="00F774B4"/>
    <w:rsid w:val="00F81C39"/>
    <w:rsid w:val="00F86128"/>
    <w:rsid w:val="00F863D6"/>
    <w:rsid w:val="00F9315F"/>
    <w:rsid w:val="00F93307"/>
    <w:rsid w:val="00F93BE9"/>
    <w:rsid w:val="00F94316"/>
    <w:rsid w:val="00F976A9"/>
    <w:rsid w:val="00FA09A6"/>
    <w:rsid w:val="00FA1A7A"/>
    <w:rsid w:val="00FA1EDB"/>
    <w:rsid w:val="00FA1F66"/>
    <w:rsid w:val="00FA2E97"/>
    <w:rsid w:val="00FA3075"/>
    <w:rsid w:val="00FA323B"/>
    <w:rsid w:val="00FA4AE5"/>
    <w:rsid w:val="00FA4E09"/>
    <w:rsid w:val="00FA5F76"/>
    <w:rsid w:val="00FB00C3"/>
    <w:rsid w:val="00FB09AB"/>
    <w:rsid w:val="00FB0CF3"/>
    <w:rsid w:val="00FB2267"/>
    <w:rsid w:val="00FB3C0F"/>
    <w:rsid w:val="00FB4A39"/>
    <w:rsid w:val="00FB5B5E"/>
    <w:rsid w:val="00FB5F7C"/>
    <w:rsid w:val="00FC07A1"/>
    <w:rsid w:val="00FC0F12"/>
    <w:rsid w:val="00FC1039"/>
    <w:rsid w:val="00FC3399"/>
    <w:rsid w:val="00FC349C"/>
    <w:rsid w:val="00FC39E6"/>
    <w:rsid w:val="00FC4E93"/>
    <w:rsid w:val="00FC5484"/>
    <w:rsid w:val="00FD00FC"/>
    <w:rsid w:val="00FD01AA"/>
    <w:rsid w:val="00FD10C9"/>
    <w:rsid w:val="00FD41FD"/>
    <w:rsid w:val="00FD4327"/>
    <w:rsid w:val="00FD4B94"/>
    <w:rsid w:val="00FD7185"/>
    <w:rsid w:val="00FE0A87"/>
    <w:rsid w:val="00FE2692"/>
    <w:rsid w:val="00FE34DC"/>
    <w:rsid w:val="00FE366B"/>
    <w:rsid w:val="00FE4BA7"/>
    <w:rsid w:val="00FE5133"/>
    <w:rsid w:val="00FF05E4"/>
    <w:rsid w:val="00FF0D6F"/>
    <w:rsid w:val="00FF23A5"/>
    <w:rsid w:val="00FF4265"/>
    <w:rsid w:val="00FF46C2"/>
    <w:rsid w:val="00FF5C5C"/>
    <w:rsid w:val="00FF6605"/>
    <w:rsid w:val="00FF6B64"/>
    <w:rsid w:val="00FF6EB6"/>
    <w:rsid w:val="01325017"/>
    <w:rsid w:val="0160E831"/>
    <w:rsid w:val="02027F4E"/>
    <w:rsid w:val="020F802B"/>
    <w:rsid w:val="02934396"/>
    <w:rsid w:val="030A6119"/>
    <w:rsid w:val="04E2A4D0"/>
    <w:rsid w:val="06EBB13B"/>
    <w:rsid w:val="0734447D"/>
    <w:rsid w:val="07702131"/>
    <w:rsid w:val="0788978F"/>
    <w:rsid w:val="07C20DA7"/>
    <w:rsid w:val="0847B936"/>
    <w:rsid w:val="088878CE"/>
    <w:rsid w:val="0A56FE68"/>
    <w:rsid w:val="0AC00A00"/>
    <w:rsid w:val="0B3A3393"/>
    <w:rsid w:val="0BC28CBA"/>
    <w:rsid w:val="0CC3074A"/>
    <w:rsid w:val="0D251043"/>
    <w:rsid w:val="0D481864"/>
    <w:rsid w:val="1127E564"/>
    <w:rsid w:val="132F8527"/>
    <w:rsid w:val="138B7869"/>
    <w:rsid w:val="13905A98"/>
    <w:rsid w:val="13C6A08E"/>
    <w:rsid w:val="15547DE7"/>
    <w:rsid w:val="160724BC"/>
    <w:rsid w:val="17F00B0A"/>
    <w:rsid w:val="198083CE"/>
    <w:rsid w:val="1994E634"/>
    <w:rsid w:val="1A790613"/>
    <w:rsid w:val="1ABF63D3"/>
    <w:rsid w:val="1B74BA4A"/>
    <w:rsid w:val="1BE4F22B"/>
    <w:rsid w:val="1C4368E7"/>
    <w:rsid w:val="1D108AAB"/>
    <w:rsid w:val="1D11623F"/>
    <w:rsid w:val="1E04C2E8"/>
    <w:rsid w:val="1E4EDE66"/>
    <w:rsid w:val="1EFC1D28"/>
    <w:rsid w:val="1F0DCBE1"/>
    <w:rsid w:val="1F2CF69F"/>
    <w:rsid w:val="1F73F198"/>
    <w:rsid w:val="20482B6D"/>
    <w:rsid w:val="2049433F"/>
    <w:rsid w:val="20B1CE7D"/>
    <w:rsid w:val="20F92843"/>
    <w:rsid w:val="234D0FA2"/>
    <w:rsid w:val="24538381"/>
    <w:rsid w:val="24D92725"/>
    <w:rsid w:val="268A6F6F"/>
    <w:rsid w:val="278CE31C"/>
    <w:rsid w:val="28E0CF0A"/>
    <w:rsid w:val="298283BC"/>
    <w:rsid w:val="2A0D7BC7"/>
    <w:rsid w:val="2A9F37DF"/>
    <w:rsid w:val="2B5B320A"/>
    <w:rsid w:val="2B669F33"/>
    <w:rsid w:val="2BAB7C3A"/>
    <w:rsid w:val="2D6FA7F6"/>
    <w:rsid w:val="2D9E1C5C"/>
    <w:rsid w:val="2DB06982"/>
    <w:rsid w:val="2EB7981C"/>
    <w:rsid w:val="2F62F62E"/>
    <w:rsid w:val="30049A5D"/>
    <w:rsid w:val="31887037"/>
    <w:rsid w:val="319E81D0"/>
    <w:rsid w:val="3311B556"/>
    <w:rsid w:val="333F3AB1"/>
    <w:rsid w:val="336CA5B6"/>
    <w:rsid w:val="339DDD7F"/>
    <w:rsid w:val="3421AC0C"/>
    <w:rsid w:val="34AEF70B"/>
    <w:rsid w:val="355EF1FF"/>
    <w:rsid w:val="35741A78"/>
    <w:rsid w:val="35E6FE9F"/>
    <w:rsid w:val="361B866B"/>
    <w:rsid w:val="362F20B2"/>
    <w:rsid w:val="36B99613"/>
    <w:rsid w:val="383BE7D5"/>
    <w:rsid w:val="38E73078"/>
    <w:rsid w:val="39A6E828"/>
    <w:rsid w:val="3A3B27C5"/>
    <w:rsid w:val="3B157C70"/>
    <w:rsid w:val="3C6C18D8"/>
    <w:rsid w:val="3C71CAE3"/>
    <w:rsid w:val="3CC03F5F"/>
    <w:rsid w:val="3CDEBECB"/>
    <w:rsid w:val="3CF3AFB6"/>
    <w:rsid w:val="3D073280"/>
    <w:rsid w:val="3D202C77"/>
    <w:rsid w:val="3E6D9AF2"/>
    <w:rsid w:val="3F809DEF"/>
    <w:rsid w:val="4119E1E3"/>
    <w:rsid w:val="43ED03AB"/>
    <w:rsid w:val="44A51C6D"/>
    <w:rsid w:val="44CD085B"/>
    <w:rsid w:val="44E3D252"/>
    <w:rsid w:val="450110E8"/>
    <w:rsid w:val="45CF84B7"/>
    <w:rsid w:val="470D652F"/>
    <w:rsid w:val="4804A91D"/>
    <w:rsid w:val="49034F7C"/>
    <w:rsid w:val="4BB63BEA"/>
    <w:rsid w:val="4BF2DFF9"/>
    <w:rsid w:val="4D0E1EE2"/>
    <w:rsid w:val="4DDF69D5"/>
    <w:rsid w:val="4DE2328A"/>
    <w:rsid w:val="4EC57B08"/>
    <w:rsid w:val="4F772745"/>
    <w:rsid w:val="4F92844E"/>
    <w:rsid w:val="4FF752F9"/>
    <w:rsid w:val="5015F171"/>
    <w:rsid w:val="5048D7A8"/>
    <w:rsid w:val="506F7FE1"/>
    <w:rsid w:val="516D9F35"/>
    <w:rsid w:val="51F2667D"/>
    <w:rsid w:val="52DBF1C6"/>
    <w:rsid w:val="53A65571"/>
    <w:rsid w:val="54EABB6F"/>
    <w:rsid w:val="550C580B"/>
    <w:rsid w:val="5602F142"/>
    <w:rsid w:val="56868318"/>
    <w:rsid w:val="5782392A"/>
    <w:rsid w:val="58225379"/>
    <w:rsid w:val="598691FE"/>
    <w:rsid w:val="599D74EB"/>
    <w:rsid w:val="5A640639"/>
    <w:rsid w:val="5AEF585E"/>
    <w:rsid w:val="5AFD36D9"/>
    <w:rsid w:val="5AFF13C3"/>
    <w:rsid w:val="5C7B65DD"/>
    <w:rsid w:val="5E2AA369"/>
    <w:rsid w:val="5EE3E554"/>
    <w:rsid w:val="5F00F458"/>
    <w:rsid w:val="5F76A747"/>
    <w:rsid w:val="5FD51056"/>
    <w:rsid w:val="6002A2A1"/>
    <w:rsid w:val="614A6D86"/>
    <w:rsid w:val="62F868B2"/>
    <w:rsid w:val="648B5BD4"/>
    <w:rsid w:val="649F8EFD"/>
    <w:rsid w:val="668FD48E"/>
    <w:rsid w:val="66D768D5"/>
    <w:rsid w:val="6721CACE"/>
    <w:rsid w:val="678D9A17"/>
    <w:rsid w:val="681744BF"/>
    <w:rsid w:val="68C50776"/>
    <w:rsid w:val="68F0E599"/>
    <w:rsid w:val="6A00E84C"/>
    <w:rsid w:val="6B3B1FA3"/>
    <w:rsid w:val="6BD89CF7"/>
    <w:rsid w:val="6C6119C3"/>
    <w:rsid w:val="6C864A38"/>
    <w:rsid w:val="6C8D6AFF"/>
    <w:rsid w:val="6CED4D79"/>
    <w:rsid w:val="6E74E233"/>
    <w:rsid w:val="6ED4596F"/>
    <w:rsid w:val="6F61A46E"/>
    <w:rsid w:val="71623E5D"/>
    <w:rsid w:val="72263851"/>
    <w:rsid w:val="72324C9F"/>
    <w:rsid w:val="73F8DBFA"/>
    <w:rsid w:val="740E6202"/>
    <w:rsid w:val="75D0E5F2"/>
    <w:rsid w:val="75F5ECB4"/>
    <w:rsid w:val="76588F54"/>
    <w:rsid w:val="7737B817"/>
    <w:rsid w:val="781CBF89"/>
    <w:rsid w:val="78627E06"/>
    <w:rsid w:val="789CBFA1"/>
    <w:rsid w:val="792EFFE7"/>
    <w:rsid w:val="7B0661F1"/>
    <w:rsid w:val="7B16FD5F"/>
    <w:rsid w:val="7C402776"/>
    <w:rsid w:val="7D98719B"/>
    <w:rsid w:val="7F541CB1"/>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3312E"/>
  <w15:chartTrackingRefBased/>
  <w15:docId w15:val="{756F1EB0-951B-4B81-95F6-EF8E6E2E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o Humphreys"/>
    <w:qFormat/>
    <w:rsid w:val="00E10DEB"/>
    <w:rPr>
      <w:rFonts w:ascii="Myriad Pro" w:hAnsi="Myriad Pro"/>
      <w:color w:val="2E3B5D"/>
      <w:sz w:val="21"/>
    </w:rPr>
  </w:style>
  <w:style w:type="paragraph" w:styleId="Ttulo1">
    <w:name w:val="heading 1"/>
    <w:aliases w:val="Titulo Principal Informe Humphreys"/>
    <w:basedOn w:val="Normal"/>
    <w:next w:val="Normal"/>
    <w:link w:val="Ttulo1Car"/>
    <w:uiPriority w:val="9"/>
    <w:qFormat/>
    <w:rsid w:val="00354824"/>
    <w:pPr>
      <w:keepNext/>
      <w:keepLines/>
      <w:spacing w:before="240" w:after="120"/>
      <w:outlineLvl w:val="0"/>
    </w:pPr>
    <w:rPr>
      <w:rFonts w:eastAsiaTheme="majorEastAsia" w:cstheme="majorBidi"/>
      <w:b/>
      <w:sz w:val="44"/>
      <w:szCs w:val="32"/>
    </w:rPr>
  </w:style>
  <w:style w:type="paragraph" w:styleId="Ttulo2">
    <w:name w:val="heading 2"/>
    <w:aliases w:val="Título Dentro del Informe Humphreys"/>
    <w:basedOn w:val="Normal"/>
    <w:next w:val="Normal"/>
    <w:link w:val="Ttulo2Car"/>
    <w:uiPriority w:val="9"/>
    <w:unhideWhenUsed/>
    <w:qFormat/>
    <w:rsid w:val="00E10DEB"/>
    <w:pPr>
      <w:keepNext/>
      <w:keepLines/>
      <w:spacing w:before="40" w:line="360" w:lineRule="auto"/>
      <w:jc w:val="center"/>
      <w:outlineLvl w:val="1"/>
    </w:pPr>
    <w:rPr>
      <w:rFonts w:ascii="Myriad Pro Light" w:eastAsiaTheme="majorEastAsia" w:hAnsi="Myriad Pro Light" w:cstheme="majorBidi"/>
      <w:b/>
      <w:sz w:val="32"/>
      <w:szCs w:val="26"/>
    </w:rPr>
  </w:style>
  <w:style w:type="paragraph" w:styleId="Ttulo3">
    <w:name w:val="heading 3"/>
    <w:aliases w:val="Pie de página Humphreys"/>
    <w:basedOn w:val="Normal"/>
    <w:next w:val="Normal"/>
    <w:link w:val="Ttulo3Car"/>
    <w:uiPriority w:val="9"/>
    <w:semiHidden/>
    <w:unhideWhenUsed/>
    <w:qFormat/>
    <w:rsid w:val="00CA17FC"/>
    <w:pPr>
      <w:keepNext/>
      <w:keepLines/>
      <w:tabs>
        <w:tab w:val="center" w:pos="4419"/>
        <w:tab w:val="right" w:pos="8838"/>
      </w:tabs>
      <w:spacing w:before="40"/>
      <w:outlineLvl w:val="2"/>
    </w:pPr>
    <w:rPr>
      <w:rFonts w:eastAsiaTheme="majorEastAsia" w:cstheme="majorBidi"/>
      <w:color w:val="FFFFFF" w:themeColor="background1"/>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aznReseaHumphreys">
    <w:name w:val="Razón Reseña Humphreys"/>
    <w:basedOn w:val="Ttulo"/>
    <w:qFormat/>
    <w:rsid w:val="00E10DEB"/>
  </w:style>
  <w:style w:type="paragraph" w:customStyle="1" w:styleId="AnalistasHumphreys">
    <w:name w:val="Analistas Humphreys"/>
    <w:basedOn w:val="Normal"/>
    <w:qFormat/>
    <w:rsid w:val="00143B2F"/>
    <w:rPr>
      <w:color w:val="FFFFFF" w:themeColor="background1"/>
      <w:lang w:val="es-ES"/>
    </w:rPr>
  </w:style>
  <w:style w:type="character" w:styleId="Nmerodepgina">
    <w:name w:val="page number"/>
    <w:basedOn w:val="Fuentedeprrafopredeter"/>
    <w:uiPriority w:val="99"/>
    <w:semiHidden/>
    <w:unhideWhenUsed/>
    <w:rsid w:val="00366E6F"/>
  </w:style>
  <w:style w:type="paragraph" w:styleId="Descripcin">
    <w:name w:val="caption"/>
    <w:aliases w:val="Descripción tabla Humphreys"/>
    <w:basedOn w:val="Normal"/>
    <w:next w:val="Normal"/>
    <w:uiPriority w:val="35"/>
    <w:unhideWhenUsed/>
    <w:qFormat/>
    <w:rsid w:val="00B33A29"/>
    <w:pPr>
      <w:spacing w:after="200"/>
      <w:jc w:val="center"/>
    </w:pPr>
    <w:rPr>
      <w:i/>
      <w:iCs/>
      <w:sz w:val="18"/>
      <w:szCs w:val="18"/>
    </w:rPr>
  </w:style>
  <w:style w:type="character" w:customStyle="1" w:styleId="Ttulo1Car">
    <w:name w:val="Título 1 Car"/>
    <w:aliases w:val="Titulo Principal Informe Humphreys Car"/>
    <w:basedOn w:val="Fuentedeprrafopredeter"/>
    <w:link w:val="Ttulo1"/>
    <w:uiPriority w:val="9"/>
    <w:rsid w:val="00354824"/>
    <w:rPr>
      <w:rFonts w:ascii="Myriad Pro" w:eastAsiaTheme="majorEastAsia" w:hAnsi="Myriad Pro" w:cstheme="majorBidi"/>
      <w:b/>
      <w:color w:val="2E3B5D"/>
      <w:sz w:val="44"/>
      <w:szCs w:val="32"/>
    </w:rPr>
  </w:style>
  <w:style w:type="character" w:customStyle="1" w:styleId="Ttulo2Car">
    <w:name w:val="Título 2 Car"/>
    <w:aliases w:val="Título Dentro del Informe Humphreys Car"/>
    <w:basedOn w:val="Fuentedeprrafopredeter"/>
    <w:link w:val="Ttulo2"/>
    <w:uiPriority w:val="9"/>
    <w:rsid w:val="00E10DEB"/>
    <w:rPr>
      <w:rFonts w:ascii="Myriad Pro Light" w:eastAsiaTheme="majorEastAsia" w:hAnsi="Myriad Pro Light" w:cstheme="majorBidi"/>
      <w:b/>
      <w:color w:val="2E3B5D"/>
      <w:sz w:val="32"/>
      <w:szCs w:val="26"/>
    </w:rPr>
  </w:style>
  <w:style w:type="paragraph" w:styleId="Ttulo">
    <w:name w:val="Title"/>
    <w:aliases w:val="Sub Título dentro en informe Humphreys"/>
    <w:basedOn w:val="Normal"/>
    <w:next w:val="Normal"/>
    <w:link w:val="TtuloCar"/>
    <w:uiPriority w:val="10"/>
    <w:qFormat/>
    <w:rsid w:val="00A07B16"/>
    <w:pPr>
      <w:spacing w:before="240" w:after="120"/>
    </w:pPr>
    <w:rPr>
      <w:rFonts w:ascii="Myriad Pro Light" w:eastAsiaTheme="majorEastAsia" w:hAnsi="Myriad Pro Light" w:cstheme="majorBidi"/>
      <w:b/>
      <w:spacing w:val="-10"/>
      <w:kern w:val="28"/>
      <w:sz w:val="28"/>
      <w:szCs w:val="56"/>
    </w:rPr>
  </w:style>
  <w:style w:type="character" w:customStyle="1" w:styleId="TtuloCar">
    <w:name w:val="Título Car"/>
    <w:aliases w:val="Sub Título dentro en informe Humphreys Car"/>
    <w:basedOn w:val="Fuentedeprrafopredeter"/>
    <w:link w:val="Ttulo"/>
    <w:uiPriority w:val="10"/>
    <w:rsid w:val="00A07B16"/>
    <w:rPr>
      <w:rFonts w:ascii="Myriad Pro Light" w:eastAsiaTheme="majorEastAsia" w:hAnsi="Myriad Pro Light" w:cstheme="majorBidi"/>
      <w:b/>
      <w:color w:val="2E3B5D"/>
      <w:spacing w:val="-10"/>
      <w:kern w:val="28"/>
      <w:sz w:val="28"/>
      <w:szCs w:val="56"/>
    </w:rPr>
  </w:style>
  <w:style w:type="character" w:customStyle="1" w:styleId="Ttulo3Car">
    <w:name w:val="Título 3 Car"/>
    <w:aliases w:val="Pie de página Humphreys Car"/>
    <w:basedOn w:val="Fuentedeprrafopredeter"/>
    <w:link w:val="Ttulo3"/>
    <w:uiPriority w:val="9"/>
    <w:semiHidden/>
    <w:rsid w:val="00CA17FC"/>
    <w:rPr>
      <w:rFonts w:ascii="Myriad Pro" w:eastAsiaTheme="majorEastAsia" w:hAnsi="Myriad Pro" w:cstheme="majorBidi"/>
      <w:color w:val="FFFFFF" w:themeColor="background1"/>
      <w:sz w:val="20"/>
    </w:rPr>
  </w:style>
  <w:style w:type="paragraph" w:styleId="Encabezado">
    <w:name w:val="header"/>
    <w:aliases w:val="Titulos cuadros"/>
    <w:basedOn w:val="Normal"/>
    <w:link w:val="EncabezadoCar"/>
    <w:uiPriority w:val="99"/>
    <w:unhideWhenUsed/>
    <w:rsid w:val="0089028D"/>
    <w:pPr>
      <w:tabs>
        <w:tab w:val="center" w:pos="4419"/>
        <w:tab w:val="right" w:pos="8838"/>
      </w:tabs>
      <w:jc w:val="center"/>
    </w:pPr>
    <w:rPr>
      <w:sz w:val="18"/>
    </w:rPr>
  </w:style>
  <w:style w:type="character" w:customStyle="1" w:styleId="EncabezadoCar">
    <w:name w:val="Encabezado Car"/>
    <w:aliases w:val="Titulos cuadros Car"/>
    <w:basedOn w:val="Fuentedeprrafopredeter"/>
    <w:link w:val="Encabezado"/>
    <w:uiPriority w:val="99"/>
    <w:rsid w:val="0089028D"/>
    <w:rPr>
      <w:rFonts w:ascii="Myriad Pro" w:hAnsi="Myriad Pro"/>
      <w:color w:val="2E3B5D"/>
      <w:sz w:val="18"/>
    </w:rPr>
  </w:style>
  <w:style w:type="paragraph" w:styleId="Piedepgina">
    <w:name w:val="footer"/>
    <w:basedOn w:val="Normal"/>
    <w:link w:val="PiedepginaCar"/>
    <w:uiPriority w:val="99"/>
    <w:unhideWhenUsed/>
    <w:rsid w:val="00E941B7"/>
    <w:pPr>
      <w:tabs>
        <w:tab w:val="center" w:pos="4419"/>
        <w:tab w:val="right" w:pos="8838"/>
      </w:tabs>
    </w:pPr>
  </w:style>
  <w:style w:type="character" w:customStyle="1" w:styleId="PiedepginaCar">
    <w:name w:val="Pie de página Car"/>
    <w:basedOn w:val="Fuentedeprrafopredeter"/>
    <w:link w:val="Piedepgina"/>
    <w:uiPriority w:val="99"/>
    <w:rsid w:val="00E941B7"/>
    <w:rPr>
      <w:rFonts w:ascii="Myriad Pro" w:hAnsi="Myriad Pro"/>
      <w:color w:val="2E3B5D"/>
    </w:rPr>
  </w:style>
  <w:style w:type="character" w:styleId="Hipervnculo">
    <w:name w:val="Hyperlink"/>
    <w:basedOn w:val="Fuentedeprrafopredeter"/>
    <w:uiPriority w:val="99"/>
    <w:unhideWhenUsed/>
    <w:rsid w:val="00AC0DB7"/>
    <w:rPr>
      <w:color w:val="0563C1" w:themeColor="hyperlink"/>
      <w:u w:val="single"/>
    </w:rPr>
  </w:style>
  <w:style w:type="character" w:styleId="Mencinsinresolver">
    <w:name w:val="Unresolved Mention"/>
    <w:basedOn w:val="Fuentedeprrafopredeter"/>
    <w:uiPriority w:val="99"/>
    <w:semiHidden/>
    <w:unhideWhenUsed/>
    <w:rsid w:val="00AC0DB7"/>
    <w:rPr>
      <w:color w:val="605E5C"/>
      <w:shd w:val="clear" w:color="auto" w:fill="E1DFDD"/>
    </w:rPr>
  </w:style>
  <w:style w:type="paragraph" w:styleId="Textonotapie">
    <w:name w:val="footnote text"/>
    <w:basedOn w:val="Normal"/>
    <w:link w:val="TextonotapieCar"/>
    <w:rsid w:val="00E10DEB"/>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10DEB"/>
    <w:rPr>
      <w:rFonts w:ascii="Times New Roman" w:eastAsia="Times New Roman" w:hAnsi="Times New Roman" w:cs="Times New Roman"/>
      <w:color w:val="2E3B5D"/>
      <w:sz w:val="20"/>
      <w:szCs w:val="20"/>
      <w:lang w:val="es-ES" w:eastAsia="es-ES"/>
    </w:rPr>
  </w:style>
  <w:style w:type="character" w:styleId="Refdenotaalpie">
    <w:name w:val="footnote reference"/>
    <w:rsid w:val="00F305AA"/>
    <w:rPr>
      <w:vertAlign w:val="superscript"/>
    </w:rPr>
  </w:style>
  <w:style w:type="table" w:styleId="Tablaconcuadrcula">
    <w:name w:val="Table Grid"/>
    <w:basedOn w:val="Tablanormal"/>
    <w:uiPriority w:val="39"/>
    <w:rsid w:val="005D3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699"/>
    <w:pPr>
      <w:ind w:left="720"/>
      <w:contextualSpacing/>
    </w:pPr>
  </w:style>
  <w:style w:type="character" w:styleId="Refdecomentario">
    <w:name w:val="annotation reference"/>
    <w:basedOn w:val="Fuentedeprrafopredeter"/>
    <w:uiPriority w:val="99"/>
    <w:semiHidden/>
    <w:unhideWhenUsed/>
    <w:rsid w:val="007529D5"/>
    <w:rPr>
      <w:sz w:val="16"/>
      <w:szCs w:val="16"/>
    </w:rPr>
  </w:style>
  <w:style w:type="paragraph" w:styleId="Textocomentario">
    <w:name w:val="annotation text"/>
    <w:basedOn w:val="Normal"/>
    <w:link w:val="TextocomentarioCar"/>
    <w:uiPriority w:val="99"/>
    <w:unhideWhenUsed/>
    <w:rsid w:val="007529D5"/>
    <w:rPr>
      <w:sz w:val="20"/>
      <w:szCs w:val="20"/>
    </w:rPr>
  </w:style>
  <w:style w:type="character" w:customStyle="1" w:styleId="TextocomentarioCar">
    <w:name w:val="Texto comentario Car"/>
    <w:basedOn w:val="Fuentedeprrafopredeter"/>
    <w:link w:val="Textocomentario"/>
    <w:uiPriority w:val="99"/>
    <w:rsid w:val="007529D5"/>
    <w:rPr>
      <w:rFonts w:ascii="Myriad Pro" w:hAnsi="Myriad Pro"/>
      <w:color w:val="2E3B5D"/>
      <w:sz w:val="20"/>
      <w:szCs w:val="20"/>
    </w:rPr>
  </w:style>
  <w:style w:type="paragraph" w:styleId="Asuntodelcomentario">
    <w:name w:val="annotation subject"/>
    <w:basedOn w:val="Textocomentario"/>
    <w:next w:val="Textocomentario"/>
    <w:link w:val="AsuntodelcomentarioCar"/>
    <w:uiPriority w:val="99"/>
    <w:semiHidden/>
    <w:unhideWhenUsed/>
    <w:rsid w:val="007529D5"/>
    <w:rPr>
      <w:b/>
      <w:bCs/>
    </w:rPr>
  </w:style>
  <w:style w:type="character" w:customStyle="1" w:styleId="AsuntodelcomentarioCar">
    <w:name w:val="Asunto del comentario Car"/>
    <w:basedOn w:val="TextocomentarioCar"/>
    <w:link w:val="Asuntodelcomentario"/>
    <w:uiPriority w:val="99"/>
    <w:semiHidden/>
    <w:rsid w:val="007529D5"/>
    <w:rPr>
      <w:rFonts w:ascii="Myriad Pro" w:hAnsi="Myriad Pro"/>
      <w:b/>
      <w:bCs/>
      <w:color w:val="2E3B5D"/>
      <w:sz w:val="20"/>
      <w:szCs w:val="20"/>
    </w:rPr>
  </w:style>
  <w:style w:type="character" w:styleId="Hipervnculovisitado">
    <w:name w:val="FollowedHyperlink"/>
    <w:basedOn w:val="Fuentedeprrafopredeter"/>
    <w:uiPriority w:val="99"/>
    <w:semiHidden/>
    <w:unhideWhenUsed/>
    <w:rsid w:val="008F43BA"/>
    <w:rPr>
      <w:color w:val="954F72" w:themeColor="followedHyperlink"/>
      <w:u w:val="single"/>
    </w:rPr>
  </w:style>
  <w:style w:type="paragraph" w:styleId="Revisin">
    <w:name w:val="Revision"/>
    <w:hidden/>
    <w:uiPriority w:val="99"/>
    <w:semiHidden/>
    <w:rsid w:val="009527B2"/>
    <w:rPr>
      <w:rFonts w:ascii="Myriad Pro" w:hAnsi="Myriad Pro"/>
      <w:color w:val="2E3B5D"/>
      <w:sz w:val="21"/>
    </w:rPr>
  </w:style>
  <w:style w:type="paragraph" w:customStyle="1" w:styleId="footnotedescription">
    <w:name w:val="footnote description"/>
    <w:next w:val="Normal"/>
    <w:link w:val="footnotedescriptionChar"/>
    <w:hidden/>
    <w:rsid w:val="00301FB4"/>
    <w:pPr>
      <w:spacing w:line="258" w:lineRule="auto"/>
      <w:ind w:left="72" w:hanging="72"/>
    </w:pPr>
    <w:rPr>
      <w:rFonts w:ascii="Verdana" w:eastAsia="Verdana" w:hAnsi="Verdana" w:cs="Verdana"/>
      <w:color w:val="000000"/>
      <w:sz w:val="14"/>
      <w:szCs w:val="22"/>
      <w:lang w:eastAsia="es-CL"/>
    </w:rPr>
  </w:style>
  <w:style w:type="character" w:customStyle="1" w:styleId="footnotedescriptionChar">
    <w:name w:val="footnote description Char"/>
    <w:link w:val="footnotedescription"/>
    <w:rsid w:val="00301FB4"/>
    <w:rPr>
      <w:rFonts w:ascii="Verdana" w:eastAsia="Verdana" w:hAnsi="Verdana" w:cs="Verdana"/>
      <w:color w:val="000000"/>
      <w:sz w:val="14"/>
      <w:szCs w:val="22"/>
      <w:lang w:eastAsia="es-CL"/>
    </w:rPr>
  </w:style>
  <w:style w:type="character" w:customStyle="1" w:styleId="footnotemark">
    <w:name w:val="footnote mark"/>
    <w:hidden/>
    <w:rsid w:val="00301FB4"/>
    <w:rPr>
      <w:rFonts w:ascii="Verdana" w:eastAsia="Verdana" w:hAnsi="Verdana" w:cs="Verdana"/>
      <w:color w:val="000000"/>
      <w:sz w:val="14"/>
      <w:vertAlign w:val="superscript"/>
    </w:rPr>
  </w:style>
  <w:style w:type="table" w:customStyle="1" w:styleId="TableGrid0">
    <w:name w:val="Table Grid0"/>
    <w:rsid w:val="00301FB4"/>
    <w:rPr>
      <w:rFonts w:eastAsiaTheme="minorEastAsia"/>
      <w:sz w:val="22"/>
      <w:szCs w:val="22"/>
      <w:lang w:eastAsia="es-CL"/>
    </w:rPr>
    <w:tblPr>
      <w:tblCellMar>
        <w:top w:w="0" w:type="dxa"/>
        <w:left w:w="0" w:type="dxa"/>
        <w:bottom w:w="0" w:type="dxa"/>
        <w:right w:w="0" w:type="dxa"/>
      </w:tblCellMar>
    </w:tblPr>
  </w:style>
  <w:style w:type="paragraph" w:styleId="Textoindependiente">
    <w:name w:val="Body Text"/>
    <w:basedOn w:val="Normal"/>
    <w:link w:val="TextoindependienteCar"/>
    <w:uiPriority w:val="99"/>
    <w:semiHidden/>
    <w:unhideWhenUsed/>
    <w:rsid w:val="00635A4E"/>
    <w:pPr>
      <w:spacing w:after="120"/>
    </w:pPr>
  </w:style>
  <w:style w:type="character" w:customStyle="1" w:styleId="TextoindependienteCar">
    <w:name w:val="Texto independiente Car"/>
    <w:basedOn w:val="Fuentedeprrafopredeter"/>
    <w:link w:val="Textoindependiente"/>
    <w:uiPriority w:val="99"/>
    <w:semiHidden/>
    <w:rsid w:val="00635A4E"/>
    <w:rPr>
      <w:rFonts w:ascii="Myriad Pro" w:hAnsi="Myriad Pro"/>
      <w:color w:val="2E3B5D"/>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2934">
      <w:bodyDiv w:val="1"/>
      <w:marLeft w:val="0"/>
      <w:marRight w:val="0"/>
      <w:marTop w:val="0"/>
      <w:marBottom w:val="0"/>
      <w:divBdr>
        <w:top w:val="none" w:sz="0" w:space="0" w:color="auto"/>
        <w:left w:val="none" w:sz="0" w:space="0" w:color="auto"/>
        <w:bottom w:val="none" w:sz="0" w:space="0" w:color="auto"/>
        <w:right w:val="none" w:sz="0" w:space="0" w:color="auto"/>
      </w:divBdr>
    </w:div>
    <w:div w:id="265356179">
      <w:bodyDiv w:val="1"/>
      <w:marLeft w:val="0"/>
      <w:marRight w:val="0"/>
      <w:marTop w:val="0"/>
      <w:marBottom w:val="0"/>
      <w:divBdr>
        <w:top w:val="none" w:sz="0" w:space="0" w:color="auto"/>
        <w:left w:val="none" w:sz="0" w:space="0" w:color="auto"/>
        <w:bottom w:val="none" w:sz="0" w:space="0" w:color="auto"/>
        <w:right w:val="none" w:sz="0" w:space="0" w:color="auto"/>
      </w:divBdr>
    </w:div>
    <w:div w:id="292902991">
      <w:bodyDiv w:val="1"/>
      <w:marLeft w:val="0"/>
      <w:marRight w:val="0"/>
      <w:marTop w:val="0"/>
      <w:marBottom w:val="0"/>
      <w:divBdr>
        <w:top w:val="none" w:sz="0" w:space="0" w:color="auto"/>
        <w:left w:val="none" w:sz="0" w:space="0" w:color="auto"/>
        <w:bottom w:val="none" w:sz="0" w:space="0" w:color="auto"/>
        <w:right w:val="none" w:sz="0" w:space="0" w:color="auto"/>
      </w:divBdr>
    </w:div>
    <w:div w:id="294146403">
      <w:bodyDiv w:val="1"/>
      <w:marLeft w:val="0"/>
      <w:marRight w:val="0"/>
      <w:marTop w:val="0"/>
      <w:marBottom w:val="0"/>
      <w:divBdr>
        <w:top w:val="none" w:sz="0" w:space="0" w:color="auto"/>
        <w:left w:val="none" w:sz="0" w:space="0" w:color="auto"/>
        <w:bottom w:val="none" w:sz="0" w:space="0" w:color="auto"/>
        <w:right w:val="none" w:sz="0" w:space="0" w:color="auto"/>
      </w:divBdr>
    </w:div>
    <w:div w:id="294798511">
      <w:bodyDiv w:val="1"/>
      <w:marLeft w:val="0"/>
      <w:marRight w:val="0"/>
      <w:marTop w:val="0"/>
      <w:marBottom w:val="0"/>
      <w:divBdr>
        <w:top w:val="none" w:sz="0" w:space="0" w:color="auto"/>
        <w:left w:val="none" w:sz="0" w:space="0" w:color="auto"/>
        <w:bottom w:val="none" w:sz="0" w:space="0" w:color="auto"/>
        <w:right w:val="none" w:sz="0" w:space="0" w:color="auto"/>
      </w:divBdr>
    </w:div>
    <w:div w:id="350231681">
      <w:bodyDiv w:val="1"/>
      <w:marLeft w:val="0"/>
      <w:marRight w:val="0"/>
      <w:marTop w:val="0"/>
      <w:marBottom w:val="0"/>
      <w:divBdr>
        <w:top w:val="none" w:sz="0" w:space="0" w:color="auto"/>
        <w:left w:val="none" w:sz="0" w:space="0" w:color="auto"/>
        <w:bottom w:val="none" w:sz="0" w:space="0" w:color="auto"/>
        <w:right w:val="none" w:sz="0" w:space="0" w:color="auto"/>
      </w:divBdr>
    </w:div>
    <w:div w:id="370765303">
      <w:bodyDiv w:val="1"/>
      <w:marLeft w:val="0"/>
      <w:marRight w:val="0"/>
      <w:marTop w:val="0"/>
      <w:marBottom w:val="0"/>
      <w:divBdr>
        <w:top w:val="none" w:sz="0" w:space="0" w:color="auto"/>
        <w:left w:val="none" w:sz="0" w:space="0" w:color="auto"/>
        <w:bottom w:val="none" w:sz="0" w:space="0" w:color="auto"/>
        <w:right w:val="none" w:sz="0" w:space="0" w:color="auto"/>
      </w:divBdr>
    </w:div>
    <w:div w:id="403720106">
      <w:bodyDiv w:val="1"/>
      <w:marLeft w:val="0"/>
      <w:marRight w:val="0"/>
      <w:marTop w:val="0"/>
      <w:marBottom w:val="0"/>
      <w:divBdr>
        <w:top w:val="none" w:sz="0" w:space="0" w:color="auto"/>
        <w:left w:val="none" w:sz="0" w:space="0" w:color="auto"/>
        <w:bottom w:val="none" w:sz="0" w:space="0" w:color="auto"/>
        <w:right w:val="none" w:sz="0" w:space="0" w:color="auto"/>
      </w:divBdr>
    </w:div>
    <w:div w:id="413942744">
      <w:bodyDiv w:val="1"/>
      <w:marLeft w:val="0"/>
      <w:marRight w:val="0"/>
      <w:marTop w:val="0"/>
      <w:marBottom w:val="0"/>
      <w:divBdr>
        <w:top w:val="none" w:sz="0" w:space="0" w:color="auto"/>
        <w:left w:val="none" w:sz="0" w:space="0" w:color="auto"/>
        <w:bottom w:val="none" w:sz="0" w:space="0" w:color="auto"/>
        <w:right w:val="none" w:sz="0" w:space="0" w:color="auto"/>
      </w:divBdr>
    </w:div>
    <w:div w:id="430013551">
      <w:bodyDiv w:val="1"/>
      <w:marLeft w:val="0"/>
      <w:marRight w:val="0"/>
      <w:marTop w:val="0"/>
      <w:marBottom w:val="0"/>
      <w:divBdr>
        <w:top w:val="none" w:sz="0" w:space="0" w:color="auto"/>
        <w:left w:val="none" w:sz="0" w:space="0" w:color="auto"/>
        <w:bottom w:val="none" w:sz="0" w:space="0" w:color="auto"/>
        <w:right w:val="none" w:sz="0" w:space="0" w:color="auto"/>
      </w:divBdr>
    </w:div>
    <w:div w:id="493299000">
      <w:bodyDiv w:val="1"/>
      <w:marLeft w:val="0"/>
      <w:marRight w:val="0"/>
      <w:marTop w:val="0"/>
      <w:marBottom w:val="0"/>
      <w:divBdr>
        <w:top w:val="none" w:sz="0" w:space="0" w:color="auto"/>
        <w:left w:val="none" w:sz="0" w:space="0" w:color="auto"/>
        <w:bottom w:val="none" w:sz="0" w:space="0" w:color="auto"/>
        <w:right w:val="none" w:sz="0" w:space="0" w:color="auto"/>
      </w:divBdr>
    </w:div>
    <w:div w:id="523246144">
      <w:bodyDiv w:val="1"/>
      <w:marLeft w:val="0"/>
      <w:marRight w:val="0"/>
      <w:marTop w:val="0"/>
      <w:marBottom w:val="0"/>
      <w:divBdr>
        <w:top w:val="none" w:sz="0" w:space="0" w:color="auto"/>
        <w:left w:val="none" w:sz="0" w:space="0" w:color="auto"/>
        <w:bottom w:val="none" w:sz="0" w:space="0" w:color="auto"/>
        <w:right w:val="none" w:sz="0" w:space="0" w:color="auto"/>
      </w:divBdr>
    </w:div>
    <w:div w:id="547881571">
      <w:bodyDiv w:val="1"/>
      <w:marLeft w:val="0"/>
      <w:marRight w:val="0"/>
      <w:marTop w:val="0"/>
      <w:marBottom w:val="0"/>
      <w:divBdr>
        <w:top w:val="none" w:sz="0" w:space="0" w:color="auto"/>
        <w:left w:val="none" w:sz="0" w:space="0" w:color="auto"/>
        <w:bottom w:val="none" w:sz="0" w:space="0" w:color="auto"/>
        <w:right w:val="none" w:sz="0" w:space="0" w:color="auto"/>
      </w:divBdr>
    </w:div>
    <w:div w:id="649288343">
      <w:bodyDiv w:val="1"/>
      <w:marLeft w:val="0"/>
      <w:marRight w:val="0"/>
      <w:marTop w:val="0"/>
      <w:marBottom w:val="0"/>
      <w:divBdr>
        <w:top w:val="none" w:sz="0" w:space="0" w:color="auto"/>
        <w:left w:val="none" w:sz="0" w:space="0" w:color="auto"/>
        <w:bottom w:val="none" w:sz="0" w:space="0" w:color="auto"/>
        <w:right w:val="none" w:sz="0" w:space="0" w:color="auto"/>
      </w:divBdr>
    </w:div>
    <w:div w:id="668942237">
      <w:bodyDiv w:val="1"/>
      <w:marLeft w:val="0"/>
      <w:marRight w:val="0"/>
      <w:marTop w:val="0"/>
      <w:marBottom w:val="0"/>
      <w:divBdr>
        <w:top w:val="none" w:sz="0" w:space="0" w:color="auto"/>
        <w:left w:val="none" w:sz="0" w:space="0" w:color="auto"/>
        <w:bottom w:val="none" w:sz="0" w:space="0" w:color="auto"/>
        <w:right w:val="none" w:sz="0" w:space="0" w:color="auto"/>
      </w:divBdr>
    </w:div>
    <w:div w:id="713581174">
      <w:bodyDiv w:val="1"/>
      <w:marLeft w:val="0"/>
      <w:marRight w:val="0"/>
      <w:marTop w:val="0"/>
      <w:marBottom w:val="0"/>
      <w:divBdr>
        <w:top w:val="none" w:sz="0" w:space="0" w:color="auto"/>
        <w:left w:val="none" w:sz="0" w:space="0" w:color="auto"/>
        <w:bottom w:val="none" w:sz="0" w:space="0" w:color="auto"/>
        <w:right w:val="none" w:sz="0" w:space="0" w:color="auto"/>
      </w:divBdr>
    </w:div>
    <w:div w:id="715470374">
      <w:bodyDiv w:val="1"/>
      <w:marLeft w:val="0"/>
      <w:marRight w:val="0"/>
      <w:marTop w:val="0"/>
      <w:marBottom w:val="0"/>
      <w:divBdr>
        <w:top w:val="none" w:sz="0" w:space="0" w:color="auto"/>
        <w:left w:val="none" w:sz="0" w:space="0" w:color="auto"/>
        <w:bottom w:val="none" w:sz="0" w:space="0" w:color="auto"/>
        <w:right w:val="none" w:sz="0" w:space="0" w:color="auto"/>
      </w:divBdr>
    </w:div>
    <w:div w:id="728262979">
      <w:bodyDiv w:val="1"/>
      <w:marLeft w:val="0"/>
      <w:marRight w:val="0"/>
      <w:marTop w:val="0"/>
      <w:marBottom w:val="0"/>
      <w:divBdr>
        <w:top w:val="none" w:sz="0" w:space="0" w:color="auto"/>
        <w:left w:val="none" w:sz="0" w:space="0" w:color="auto"/>
        <w:bottom w:val="none" w:sz="0" w:space="0" w:color="auto"/>
        <w:right w:val="none" w:sz="0" w:space="0" w:color="auto"/>
      </w:divBdr>
    </w:div>
    <w:div w:id="743533424">
      <w:bodyDiv w:val="1"/>
      <w:marLeft w:val="0"/>
      <w:marRight w:val="0"/>
      <w:marTop w:val="0"/>
      <w:marBottom w:val="0"/>
      <w:divBdr>
        <w:top w:val="none" w:sz="0" w:space="0" w:color="auto"/>
        <w:left w:val="none" w:sz="0" w:space="0" w:color="auto"/>
        <w:bottom w:val="none" w:sz="0" w:space="0" w:color="auto"/>
        <w:right w:val="none" w:sz="0" w:space="0" w:color="auto"/>
      </w:divBdr>
    </w:div>
    <w:div w:id="774712906">
      <w:bodyDiv w:val="1"/>
      <w:marLeft w:val="0"/>
      <w:marRight w:val="0"/>
      <w:marTop w:val="0"/>
      <w:marBottom w:val="0"/>
      <w:divBdr>
        <w:top w:val="none" w:sz="0" w:space="0" w:color="auto"/>
        <w:left w:val="none" w:sz="0" w:space="0" w:color="auto"/>
        <w:bottom w:val="none" w:sz="0" w:space="0" w:color="auto"/>
        <w:right w:val="none" w:sz="0" w:space="0" w:color="auto"/>
      </w:divBdr>
    </w:div>
    <w:div w:id="848719842">
      <w:bodyDiv w:val="1"/>
      <w:marLeft w:val="0"/>
      <w:marRight w:val="0"/>
      <w:marTop w:val="0"/>
      <w:marBottom w:val="0"/>
      <w:divBdr>
        <w:top w:val="none" w:sz="0" w:space="0" w:color="auto"/>
        <w:left w:val="none" w:sz="0" w:space="0" w:color="auto"/>
        <w:bottom w:val="none" w:sz="0" w:space="0" w:color="auto"/>
        <w:right w:val="none" w:sz="0" w:space="0" w:color="auto"/>
      </w:divBdr>
    </w:div>
    <w:div w:id="887648012">
      <w:bodyDiv w:val="1"/>
      <w:marLeft w:val="0"/>
      <w:marRight w:val="0"/>
      <w:marTop w:val="0"/>
      <w:marBottom w:val="0"/>
      <w:divBdr>
        <w:top w:val="none" w:sz="0" w:space="0" w:color="auto"/>
        <w:left w:val="none" w:sz="0" w:space="0" w:color="auto"/>
        <w:bottom w:val="none" w:sz="0" w:space="0" w:color="auto"/>
        <w:right w:val="none" w:sz="0" w:space="0" w:color="auto"/>
      </w:divBdr>
    </w:div>
    <w:div w:id="945309703">
      <w:bodyDiv w:val="1"/>
      <w:marLeft w:val="0"/>
      <w:marRight w:val="0"/>
      <w:marTop w:val="0"/>
      <w:marBottom w:val="0"/>
      <w:divBdr>
        <w:top w:val="none" w:sz="0" w:space="0" w:color="auto"/>
        <w:left w:val="none" w:sz="0" w:space="0" w:color="auto"/>
        <w:bottom w:val="none" w:sz="0" w:space="0" w:color="auto"/>
        <w:right w:val="none" w:sz="0" w:space="0" w:color="auto"/>
      </w:divBdr>
    </w:div>
    <w:div w:id="1006830444">
      <w:bodyDiv w:val="1"/>
      <w:marLeft w:val="0"/>
      <w:marRight w:val="0"/>
      <w:marTop w:val="0"/>
      <w:marBottom w:val="0"/>
      <w:divBdr>
        <w:top w:val="none" w:sz="0" w:space="0" w:color="auto"/>
        <w:left w:val="none" w:sz="0" w:space="0" w:color="auto"/>
        <w:bottom w:val="none" w:sz="0" w:space="0" w:color="auto"/>
        <w:right w:val="none" w:sz="0" w:space="0" w:color="auto"/>
      </w:divBdr>
    </w:div>
    <w:div w:id="1021053770">
      <w:bodyDiv w:val="1"/>
      <w:marLeft w:val="0"/>
      <w:marRight w:val="0"/>
      <w:marTop w:val="0"/>
      <w:marBottom w:val="0"/>
      <w:divBdr>
        <w:top w:val="none" w:sz="0" w:space="0" w:color="auto"/>
        <w:left w:val="none" w:sz="0" w:space="0" w:color="auto"/>
        <w:bottom w:val="none" w:sz="0" w:space="0" w:color="auto"/>
        <w:right w:val="none" w:sz="0" w:space="0" w:color="auto"/>
      </w:divBdr>
    </w:div>
    <w:div w:id="1038552387">
      <w:bodyDiv w:val="1"/>
      <w:marLeft w:val="0"/>
      <w:marRight w:val="0"/>
      <w:marTop w:val="0"/>
      <w:marBottom w:val="0"/>
      <w:divBdr>
        <w:top w:val="none" w:sz="0" w:space="0" w:color="auto"/>
        <w:left w:val="none" w:sz="0" w:space="0" w:color="auto"/>
        <w:bottom w:val="none" w:sz="0" w:space="0" w:color="auto"/>
        <w:right w:val="none" w:sz="0" w:space="0" w:color="auto"/>
      </w:divBdr>
    </w:div>
    <w:div w:id="1060641528">
      <w:bodyDiv w:val="1"/>
      <w:marLeft w:val="0"/>
      <w:marRight w:val="0"/>
      <w:marTop w:val="0"/>
      <w:marBottom w:val="0"/>
      <w:divBdr>
        <w:top w:val="none" w:sz="0" w:space="0" w:color="auto"/>
        <w:left w:val="none" w:sz="0" w:space="0" w:color="auto"/>
        <w:bottom w:val="none" w:sz="0" w:space="0" w:color="auto"/>
        <w:right w:val="none" w:sz="0" w:space="0" w:color="auto"/>
      </w:divBdr>
    </w:div>
    <w:div w:id="1099135138">
      <w:bodyDiv w:val="1"/>
      <w:marLeft w:val="0"/>
      <w:marRight w:val="0"/>
      <w:marTop w:val="0"/>
      <w:marBottom w:val="0"/>
      <w:divBdr>
        <w:top w:val="none" w:sz="0" w:space="0" w:color="auto"/>
        <w:left w:val="none" w:sz="0" w:space="0" w:color="auto"/>
        <w:bottom w:val="none" w:sz="0" w:space="0" w:color="auto"/>
        <w:right w:val="none" w:sz="0" w:space="0" w:color="auto"/>
      </w:divBdr>
    </w:div>
    <w:div w:id="1171598772">
      <w:bodyDiv w:val="1"/>
      <w:marLeft w:val="0"/>
      <w:marRight w:val="0"/>
      <w:marTop w:val="0"/>
      <w:marBottom w:val="0"/>
      <w:divBdr>
        <w:top w:val="none" w:sz="0" w:space="0" w:color="auto"/>
        <w:left w:val="none" w:sz="0" w:space="0" w:color="auto"/>
        <w:bottom w:val="none" w:sz="0" w:space="0" w:color="auto"/>
        <w:right w:val="none" w:sz="0" w:space="0" w:color="auto"/>
      </w:divBdr>
    </w:div>
    <w:div w:id="1198736316">
      <w:bodyDiv w:val="1"/>
      <w:marLeft w:val="0"/>
      <w:marRight w:val="0"/>
      <w:marTop w:val="0"/>
      <w:marBottom w:val="0"/>
      <w:divBdr>
        <w:top w:val="none" w:sz="0" w:space="0" w:color="auto"/>
        <w:left w:val="none" w:sz="0" w:space="0" w:color="auto"/>
        <w:bottom w:val="none" w:sz="0" w:space="0" w:color="auto"/>
        <w:right w:val="none" w:sz="0" w:space="0" w:color="auto"/>
      </w:divBdr>
    </w:div>
    <w:div w:id="1258489840">
      <w:bodyDiv w:val="1"/>
      <w:marLeft w:val="0"/>
      <w:marRight w:val="0"/>
      <w:marTop w:val="0"/>
      <w:marBottom w:val="0"/>
      <w:divBdr>
        <w:top w:val="none" w:sz="0" w:space="0" w:color="auto"/>
        <w:left w:val="none" w:sz="0" w:space="0" w:color="auto"/>
        <w:bottom w:val="none" w:sz="0" w:space="0" w:color="auto"/>
        <w:right w:val="none" w:sz="0" w:space="0" w:color="auto"/>
      </w:divBdr>
    </w:div>
    <w:div w:id="1271083645">
      <w:bodyDiv w:val="1"/>
      <w:marLeft w:val="0"/>
      <w:marRight w:val="0"/>
      <w:marTop w:val="0"/>
      <w:marBottom w:val="0"/>
      <w:divBdr>
        <w:top w:val="none" w:sz="0" w:space="0" w:color="auto"/>
        <w:left w:val="none" w:sz="0" w:space="0" w:color="auto"/>
        <w:bottom w:val="none" w:sz="0" w:space="0" w:color="auto"/>
        <w:right w:val="none" w:sz="0" w:space="0" w:color="auto"/>
      </w:divBdr>
    </w:div>
    <w:div w:id="1336301569">
      <w:bodyDiv w:val="1"/>
      <w:marLeft w:val="0"/>
      <w:marRight w:val="0"/>
      <w:marTop w:val="0"/>
      <w:marBottom w:val="0"/>
      <w:divBdr>
        <w:top w:val="none" w:sz="0" w:space="0" w:color="auto"/>
        <w:left w:val="none" w:sz="0" w:space="0" w:color="auto"/>
        <w:bottom w:val="none" w:sz="0" w:space="0" w:color="auto"/>
        <w:right w:val="none" w:sz="0" w:space="0" w:color="auto"/>
      </w:divBdr>
    </w:div>
    <w:div w:id="1342660235">
      <w:bodyDiv w:val="1"/>
      <w:marLeft w:val="0"/>
      <w:marRight w:val="0"/>
      <w:marTop w:val="0"/>
      <w:marBottom w:val="0"/>
      <w:divBdr>
        <w:top w:val="none" w:sz="0" w:space="0" w:color="auto"/>
        <w:left w:val="none" w:sz="0" w:space="0" w:color="auto"/>
        <w:bottom w:val="none" w:sz="0" w:space="0" w:color="auto"/>
        <w:right w:val="none" w:sz="0" w:space="0" w:color="auto"/>
      </w:divBdr>
    </w:div>
    <w:div w:id="1447777086">
      <w:bodyDiv w:val="1"/>
      <w:marLeft w:val="0"/>
      <w:marRight w:val="0"/>
      <w:marTop w:val="0"/>
      <w:marBottom w:val="0"/>
      <w:divBdr>
        <w:top w:val="none" w:sz="0" w:space="0" w:color="auto"/>
        <w:left w:val="none" w:sz="0" w:space="0" w:color="auto"/>
        <w:bottom w:val="none" w:sz="0" w:space="0" w:color="auto"/>
        <w:right w:val="none" w:sz="0" w:space="0" w:color="auto"/>
      </w:divBdr>
    </w:div>
    <w:div w:id="1546723468">
      <w:bodyDiv w:val="1"/>
      <w:marLeft w:val="0"/>
      <w:marRight w:val="0"/>
      <w:marTop w:val="0"/>
      <w:marBottom w:val="0"/>
      <w:divBdr>
        <w:top w:val="none" w:sz="0" w:space="0" w:color="auto"/>
        <w:left w:val="none" w:sz="0" w:space="0" w:color="auto"/>
        <w:bottom w:val="none" w:sz="0" w:space="0" w:color="auto"/>
        <w:right w:val="none" w:sz="0" w:space="0" w:color="auto"/>
      </w:divBdr>
    </w:div>
    <w:div w:id="1556743350">
      <w:bodyDiv w:val="1"/>
      <w:marLeft w:val="0"/>
      <w:marRight w:val="0"/>
      <w:marTop w:val="0"/>
      <w:marBottom w:val="0"/>
      <w:divBdr>
        <w:top w:val="none" w:sz="0" w:space="0" w:color="auto"/>
        <w:left w:val="none" w:sz="0" w:space="0" w:color="auto"/>
        <w:bottom w:val="none" w:sz="0" w:space="0" w:color="auto"/>
        <w:right w:val="none" w:sz="0" w:space="0" w:color="auto"/>
      </w:divBdr>
    </w:div>
    <w:div w:id="1564029147">
      <w:bodyDiv w:val="1"/>
      <w:marLeft w:val="0"/>
      <w:marRight w:val="0"/>
      <w:marTop w:val="0"/>
      <w:marBottom w:val="0"/>
      <w:divBdr>
        <w:top w:val="none" w:sz="0" w:space="0" w:color="auto"/>
        <w:left w:val="none" w:sz="0" w:space="0" w:color="auto"/>
        <w:bottom w:val="none" w:sz="0" w:space="0" w:color="auto"/>
        <w:right w:val="none" w:sz="0" w:space="0" w:color="auto"/>
      </w:divBdr>
    </w:div>
    <w:div w:id="1665353090">
      <w:bodyDiv w:val="1"/>
      <w:marLeft w:val="0"/>
      <w:marRight w:val="0"/>
      <w:marTop w:val="0"/>
      <w:marBottom w:val="0"/>
      <w:divBdr>
        <w:top w:val="none" w:sz="0" w:space="0" w:color="auto"/>
        <w:left w:val="none" w:sz="0" w:space="0" w:color="auto"/>
        <w:bottom w:val="none" w:sz="0" w:space="0" w:color="auto"/>
        <w:right w:val="none" w:sz="0" w:space="0" w:color="auto"/>
      </w:divBdr>
    </w:div>
    <w:div w:id="1731416515">
      <w:bodyDiv w:val="1"/>
      <w:marLeft w:val="0"/>
      <w:marRight w:val="0"/>
      <w:marTop w:val="0"/>
      <w:marBottom w:val="0"/>
      <w:divBdr>
        <w:top w:val="none" w:sz="0" w:space="0" w:color="auto"/>
        <w:left w:val="none" w:sz="0" w:space="0" w:color="auto"/>
        <w:bottom w:val="none" w:sz="0" w:space="0" w:color="auto"/>
        <w:right w:val="none" w:sz="0" w:space="0" w:color="auto"/>
      </w:divBdr>
    </w:div>
    <w:div w:id="1848127676">
      <w:bodyDiv w:val="1"/>
      <w:marLeft w:val="0"/>
      <w:marRight w:val="0"/>
      <w:marTop w:val="0"/>
      <w:marBottom w:val="0"/>
      <w:divBdr>
        <w:top w:val="none" w:sz="0" w:space="0" w:color="auto"/>
        <w:left w:val="none" w:sz="0" w:space="0" w:color="auto"/>
        <w:bottom w:val="none" w:sz="0" w:space="0" w:color="auto"/>
        <w:right w:val="none" w:sz="0" w:space="0" w:color="auto"/>
      </w:divBdr>
    </w:div>
    <w:div w:id="1938519725">
      <w:bodyDiv w:val="1"/>
      <w:marLeft w:val="0"/>
      <w:marRight w:val="0"/>
      <w:marTop w:val="0"/>
      <w:marBottom w:val="0"/>
      <w:divBdr>
        <w:top w:val="none" w:sz="0" w:space="0" w:color="auto"/>
        <w:left w:val="none" w:sz="0" w:space="0" w:color="auto"/>
        <w:bottom w:val="none" w:sz="0" w:space="0" w:color="auto"/>
        <w:right w:val="none" w:sz="0" w:space="0" w:color="auto"/>
      </w:divBdr>
    </w:div>
    <w:div w:id="1956982656">
      <w:bodyDiv w:val="1"/>
      <w:marLeft w:val="0"/>
      <w:marRight w:val="0"/>
      <w:marTop w:val="0"/>
      <w:marBottom w:val="0"/>
      <w:divBdr>
        <w:top w:val="none" w:sz="0" w:space="0" w:color="auto"/>
        <w:left w:val="none" w:sz="0" w:space="0" w:color="auto"/>
        <w:bottom w:val="none" w:sz="0" w:space="0" w:color="auto"/>
        <w:right w:val="none" w:sz="0" w:space="0" w:color="auto"/>
      </w:divBdr>
    </w:div>
    <w:div w:id="1967270377">
      <w:bodyDiv w:val="1"/>
      <w:marLeft w:val="0"/>
      <w:marRight w:val="0"/>
      <w:marTop w:val="0"/>
      <w:marBottom w:val="0"/>
      <w:divBdr>
        <w:top w:val="none" w:sz="0" w:space="0" w:color="auto"/>
        <w:left w:val="none" w:sz="0" w:space="0" w:color="auto"/>
        <w:bottom w:val="none" w:sz="0" w:space="0" w:color="auto"/>
        <w:right w:val="none" w:sz="0" w:space="0" w:color="auto"/>
      </w:divBdr>
    </w:div>
    <w:div w:id="1996491159">
      <w:bodyDiv w:val="1"/>
      <w:marLeft w:val="0"/>
      <w:marRight w:val="0"/>
      <w:marTop w:val="0"/>
      <w:marBottom w:val="0"/>
      <w:divBdr>
        <w:top w:val="none" w:sz="0" w:space="0" w:color="auto"/>
        <w:left w:val="none" w:sz="0" w:space="0" w:color="auto"/>
        <w:bottom w:val="none" w:sz="0" w:space="0" w:color="auto"/>
        <w:right w:val="none" w:sz="0" w:space="0" w:color="auto"/>
      </w:divBdr>
    </w:div>
    <w:div w:id="2109622525">
      <w:bodyDiv w:val="1"/>
      <w:marLeft w:val="0"/>
      <w:marRight w:val="0"/>
      <w:marTop w:val="0"/>
      <w:marBottom w:val="0"/>
      <w:divBdr>
        <w:top w:val="none" w:sz="0" w:space="0" w:color="auto"/>
        <w:left w:val="none" w:sz="0" w:space="0" w:color="auto"/>
        <w:bottom w:val="none" w:sz="0" w:space="0" w:color="auto"/>
        <w:right w:val="none" w:sz="0" w:space="0" w:color="auto"/>
      </w:divBdr>
    </w:div>
    <w:div w:id="214368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Clasificadora/FONDOS/FM/Banchile/Deposito%20XXI/Analisis%20FM%20Deposito%20XXI%20Dic%202017.xls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Vaccaro\AppData\Local\Microsoft\Windows\INetCache\Content.Outlook\E475JABV\Plantilla%20Informe_2.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AGF%20BANCHILE/FM%20LATAM%20CORPORATE%20INVESTMENT%20GRADE/2022%2012%20A/An&#225;lisis%20Latam%20Investment%20Grade%202022%2012%20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AGF%20BANCHILE/FM%20LATAM%20CORPORATE%20INVESTMENT%20GRADE/2022%2012%20A/An&#225;lisis%20Latam%20Investment%20Grade%202022%2012%20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AGF%20BANCHILE/FM%20LATAM%20CORPORATE%20INVESTMENT%20GRADE/2022%2012%20A/An&#225;lisis%20Latam%20Investment%20Grade%202022%2012%20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AGF%20BANCHILE/FM%20LATAM%20CORPORATE%20INVESTMENT%20GRADE/2022%2012%20A/An&#225;lisis%20Latam%20Investment%20Grade%202022%2012%20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oleObject" Target="https://humphreysltda.sharepoint.com/sites/clasificaciones/Repositorio/AGF%20BANCHILE/FM%20LATAM%20CORPORATE%20INVESTMENT%20GRADE/2022%2012%20A/An&#225;lisis%20Latam%20Investment%20Grade%202022%2012%20A.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oleObject" Target="https://humphreysltda.sharepoint.com/sites/clasificaciones/Repositorio/AGF%20BANCHILE/FM%20LATAM%20CORPORATE%20INVESTMENT%20GRADE/2022%2012%20A/An&#225;lisis%20Latam%20Investment%20Grade%202022%2012%20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Rentabilidad!$T$4</c:f>
              <c:strCache>
                <c:ptCount val="1"/>
                <c:pt idx="0">
                  <c:v>L</c:v>
                </c:pt>
              </c:strCache>
            </c:strRef>
          </c:tx>
          <c:spPr>
            <a:solidFill>
              <a:srgbClr val="AE1619"/>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Rentabilidad!$T$17:$T$40</c:f>
              <c:numCache>
                <c:formatCode>#,##0</c:formatCode>
                <c:ptCount val="24"/>
                <c:pt idx="0">
                  <c:v>49994958.649999999</c:v>
                </c:pt>
                <c:pt idx="1">
                  <c:v>50870443.670000002</c:v>
                </c:pt>
                <c:pt idx="2">
                  <c:v>46868366.479999997</c:v>
                </c:pt>
                <c:pt idx="3">
                  <c:v>40839797.270000003</c:v>
                </c:pt>
                <c:pt idx="4">
                  <c:v>39210758.759999998</c:v>
                </c:pt>
                <c:pt idx="5">
                  <c:v>38378862.909999996</c:v>
                </c:pt>
                <c:pt idx="6">
                  <c:v>38414178.170000002</c:v>
                </c:pt>
                <c:pt idx="7">
                  <c:v>38112335.299999997</c:v>
                </c:pt>
                <c:pt idx="8">
                  <c:v>36686940.189999998</c:v>
                </c:pt>
                <c:pt idx="9">
                  <c:v>35670467.329999998</c:v>
                </c:pt>
                <c:pt idx="10">
                  <c:v>33772689.810000002</c:v>
                </c:pt>
                <c:pt idx="11">
                  <c:v>31087089.170000002</c:v>
                </c:pt>
                <c:pt idx="12">
                  <c:v>30757598.969999999</c:v>
                </c:pt>
                <c:pt idx="13">
                  <c:v>29658424.5</c:v>
                </c:pt>
                <c:pt idx="14">
                  <c:v>28257353.280000001</c:v>
                </c:pt>
                <c:pt idx="15">
                  <c:v>27275610.219999999</c:v>
                </c:pt>
                <c:pt idx="16">
                  <c:v>25556171.600000001</c:v>
                </c:pt>
                <c:pt idx="17">
                  <c:v>24391654.780000001</c:v>
                </c:pt>
                <c:pt idx="18">
                  <c:v>22877019.690000001</c:v>
                </c:pt>
                <c:pt idx="19">
                  <c:v>22554657.960000001</c:v>
                </c:pt>
                <c:pt idx="20">
                  <c:v>22412411.109999999</c:v>
                </c:pt>
                <c:pt idx="21">
                  <c:v>20000195.120000001</c:v>
                </c:pt>
                <c:pt idx="22">
                  <c:v>19254272.440000001</c:v>
                </c:pt>
                <c:pt idx="23">
                  <c:v>19775371.440000001</c:v>
                </c:pt>
              </c:numCache>
            </c:numRef>
          </c:val>
          <c:extLst>
            <c:ext xmlns:c16="http://schemas.microsoft.com/office/drawing/2014/chart" uri="{C3380CC4-5D6E-409C-BE32-E72D297353CC}">
              <c16:uniqueId val="{00000000-7ABA-4AB7-9015-52DD8471D6E6}"/>
            </c:ext>
          </c:extLst>
        </c:ser>
        <c:ser>
          <c:idx val="4"/>
          <c:order val="2"/>
          <c:tx>
            <c:strRef>
              <c:f>Rentabilidad!#REF!</c:f>
              <c:strCache>
                <c:ptCount val="1"/>
                <c:pt idx="0">
                  <c:v>#¡REF!</c:v>
                </c:pt>
              </c:strCache>
            </c:strRef>
          </c:tx>
          <c:spPr>
            <a:solidFill>
              <a:schemeClr val="accent5"/>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Rentabilidad!#REF!</c:f>
              <c:numCache>
                <c:formatCode>General</c:formatCode>
                <c:ptCount val="1"/>
                <c:pt idx="0">
                  <c:v>1</c:v>
                </c:pt>
              </c:numCache>
            </c:numRef>
          </c:val>
          <c:extLst>
            <c:ext xmlns:c16="http://schemas.microsoft.com/office/drawing/2014/chart" uri="{C3380CC4-5D6E-409C-BE32-E72D297353CC}">
              <c16:uniqueId val="{00000001-7ABA-4AB7-9015-52DD8471D6E6}"/>
            </c:ext>
          </c:extLst>
        </c:ser>
        <c:ser>
          <c:idx val="2"/>
          <c:order val="3"/>
          <c:tx>
            <c:strRef>
              <c:f>Rentabilidad!$U$4</c:f>
              <c:strCache>
                <c:ptCount val="1"/>
                <c:pt idx="0">
                  <c:v>M</c:v>
                </c:pt>
              </c:strCache>
            </c:strRef>
          </c:tx>
          <c:spPr>
            <a:solidFill>
              <a:srgbClr val="333D6B"/>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Rentabilidad!$U$17:$U$40</c:f>
              <c:numCache>
                <c:formatCode>#,##0</c:formatCode>
                <c:ptCount val="24"/>
                <c:pt idx="0">
                  <c:v>20026021.109999999</c:v>
                </c:pt>
                <c:pt idx="1">
                  <c:v>20172652.530000001</c:v>
                </c:pt>
                <c:pt idx="2">
                  <c:v>20459845.379999999</c:v>
                </c:pt>
                <c:pt idx="3">
                  <c:v>16522189.27</c:v>
                </c:pt>
                <c:pt idx="4">
                  <c:v>17210630.09</c:v>
                </c:pt>
                <c:pt idx="5">
                  <c:v>17172087.469999999</c:v>
                </c:pt>
                <c:pt idx="6">
                  <c:v>17324359.690000001</c:v>
                </c:pt>
                <c:pt idx="7">
                  <c:v>17359120.149999999</c:v>
                </c:pt>
                <c:pt idx="8">
                  <c:v>16971246.039999999</c:v>
                </c:pt>
                <c:pt idx="9">
                  <c:v>16656338.630000001</c:v>
                </c:pt>
                <c:pt idx="10">
                  <c:v>16108804.34</c:v>
                </c:pt>
                <c:pt idx="11">
                  <c:v>13063862.93</c:v>
                </c:pt>
                <c:pt idx="12">
                  <c:v>11946974.18</c:v>
                </c:pt>
                <c:pt idx="13">
                  <c:v>11089118.49</c:v>
                </c:pt>
                <c:pt idx="14">
                  <c:v>9733920.4600000009</c:v>
                </c:pt>
                <c:pt idx="15">
                  <c:v>9597570.5199999996</c:v>
                </c:pt>
                <c:pt idx="16">
                  <c:v>9135745.9600000009</c:v>
                </c:pt>
                <c:pt idx="17">
                  <c:v>8332607.1600000001</c:v>
                </c:pt>
                <c:pt idx="18">
                  <c:v>7975837.3300000001</c:v>
                </c:pt>
                <c:pt idx="19">
                  <c:v>7843868.2300000004</c:v>
                </c:pt>
                <c:pt idx="20">
                  <c:v>7785577.4900000002</c:v>
                </c:pt>
                <c:pt idx="21">
                  <c:v>7271633.2699999996</c:v>
                </c:pt>
                <c:pt idx="22">
                  <c:v>7160577.9400000004</c:v>
                </c:pt>
                <c:pt idx="23">
                  <c:v>7512604.5300000003</c:v>
                </c:pt>
              </c:numCache>
            </c:numRef>
          </c:val>
          <c:extLst>
            <c:ext xmlns:c16="http://schemas.microsoft.com/office/drawing/2014/chart" uri="{C3380CC4-5D6E-409C-BE32-E72D297353CC}">
              <c16:uniqueId val="{00000002-7ABA-4AB7-9015-52DD8471D6E6}"/>
            </c:ext>
          </c:extLst>
        </c:ser>
        <c:ser>
          <c:idx val="3"/>
          <c:order val="4"/>
          <c:tx>
            <c:strRef>
              <c:f>Rentabilidad!$V$4</c:f>
              <c:strCache>
                <c:ptCount val="1"/>
                <c:pt idx="0">
                  <c:v>P</c:v>
                </c:pt>
              </c:strCache>
            </c:strRef>
          </c:tx>
          <c:spPr>
            <a:solidFill>
              <a:schemeClr val="accent4"/>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Rentabilidad!$V$17:$V$40</c:f>
              <c:numCache>
                <c:formatCode>#,##0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3-7ABA-4AB7-9015-52DD8471D6E6}"/>
            </c:ext>
          </c:extLst>
        </c:ser>
        <c:ser>
          <c:idx val="5"/>
          <c:order val="5"/>
          <c:tx>
            <c:strRef>
              <c:f>Rentabilidad!$W$4</c:f>
              <c:strCache>
                <c:ptCount val="1"/>
                <c:pt idx="0">
                  <c:v>BCH</c:v>
                </c:pt>
              </c:strCache>
            </c:strRef>
          </c:tx>
          <c:spPr>
            <a:solidFill>
              <a:schemeClr val="accent6"/>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Rentabilidad!$W$17:$W$40</c:f>
              <c:numCache>
                <c:formatCode>#,##0</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4-7ABA-4AB7-9015-52DD8471D6E6}"/>
            </c:ext>
          </c:extLst>
        </c:ser>
        <c:ser>
          <c:idx val="6"/>
          <c:order val="6"/>
          <c:tx>
            <c:strRef>
              <c:f>Rentabilidad!#REF!</c:f>
              <c:strCache>
                <c:ptCount val="1"/>
                <c:pt idx="0">
                  <c:v>#¡REF!</c:v>
                </c:pt>
              </c:strCache>
            </c:strRef>
          </c:tx>
          <c:spPr>
            <a:solidFill>
              <a:schemeClr val="accent1">
                <a:lumMod val="60000"/>
              </a:schemeClr>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Rentabilidad!#REF!</c:f>
              <c:numCache>
                <c:formatCode>General</c:formatCode>
                <c:ptCount val="1"/>
                <c:pt idx="0">
                  <c:v>1</c:v>
                </c:pt>
              </c:numCache>
            </c:numRef>
          </c:val>
          <c:extLst>
            <c:ext xmlns:c16="http://schemas.microsoft.com/office/drawing/2014/chart" uri="{C3380CC4-5D6E-409C-BE32-E72D297353CC}">
              <c16:uniqueId val="{00000005-7ABA-4AB7-9015-52DD8471D6E6}"/>
            </c:ext>
          </c:extLst>
        </c:ser>
        <c:ser>
          <c:idx val="7"/>
          <c:order val="7"/>
          <c:tx>
            <c:strRef>
              <c:f>Rentabilidad!#REF!</c:f>
              <c:strCache>
                <c:ptCount val="1"/>
                <c:pt idx="0">
                  <c:v>#¡REF!</c:v>
                </c:pt>
              </c:strCache>
            </c:strRef>
          </c:tx>
          <c:spPr>
            <a:solidFill>
              <a:schemeClr val="accent2">
                <a:lumMod val="60000"/>
              </a:schemeClr>
            </a:solidFill>
            <a:ln>
              <a:noFill/>
            </a:ln>
            <a:effectLst/>
          </c:spPr>
          <c:invertIfNegative val="0"/>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Rentabilidad!#REF!</c:f>
              <c:numCache>
                <c:formatCode>General</c:formatCode>
                <c:ptCount val="1"/>
                <c:pt idx="0">
                  <c:v>1</c:v>
                </c:pt>
              </c:numCache>
            </c:numRef>
          </c:val>
          <c:extLst>
            <c:ext xmlns:c16="http://schemas.microsoft.com/office/drawing/2014/chart" uri="{C3380CC4-5D6E-409C-BE32-E72D297353CC}">
              <c16:uniqueId val="{00000006-7ABA-4AB7-9015-52DD8471D6E6}"/>
            </c:ext>
          </c:extLst>
        </c:ser>
        <c:dLbls>
          <c:showLegendKey val="0"/>
          <c:showVal val="0"/>
          <c:showCatName val="0"/>
          <c:showSerName val="0"/>
          <c:showPercent val="0"/>
          <c:showBubbleSize val="0"/>
        </c:dLbls>
        <c:gapWidth val="150"/>
        <c:overlap val="100"/>
        <c:axId val="507735424"/>
        <c:axId val="507798272"/>
      </c:barChart>
      <c:lineChart>
        <c:grouping val="standard"/>
        <c:varyColors val="0"/>
        <c:ser>
          <c:idx val="0"/>
          <c:order val="0"/>
          <c:tx>
            <c:strRef>
              <c:f>Rentabilidad!$S$4</c:f>
              <c:strCache>
                <c:ptCount val="1"/>
                <c:pt idx="0">
                  <c:v>Partícipes</c:v>
                </c:pt>
              </c:strCache>
            </c:strRef>
          </c:tx>
          <c:spPr>
            <a:ln w="28575" cap="rnd">
              <a:solidFill>
                <a:srgbClr val="878787"/>
              </a:solidFill>
              <a:round/>
            </a:ln>
            <a:effectLst/>
          </c:spPr>
          <c:marker>
            <c:symbol val="none"/>
          </c:marker>
          <c:cat>
            <c:numRef>
              <c:f>Rentabilidad!$R$17:$R$40</c:f>
              <c:numCache>
                <c:formatCode>m/d/yyyy</c:formatCode>
                <c:ptCount val="24"/>
                <c:pt idx="0">
                  <c:v>44196</c:v>
                </c:pt>
                <c:pt idx="1">
                  <c:v>44227</c:v>
                </c:pt>
                <c:pt idx="2">
                  <c:v>44255</c:v>
                </c:pt>
                <c:pt idx="3">
                  <c:v>44286</c:v>
                </c:pt>
                <c:pt idx="4">
                  <c:v>44316</c:v>
                </c:pt>
                <c:pt idx="5">
                  <c:v>44347</c:v>
                </c:pt>
                <c:pt idx="6">
                  <c:v>44377</c:v>
                </c:pt>
                <c:pt idx="7">
                  <c:v>44408</c:v>
                </c:pt>
                <c:pt idx="8">
                  <c:v>44439</c:v>
                </c:pt>
                <c:pt idx="9">
                  <c:v>44469</c:v>
                </c:pt>
                <c:pt idx="10">
                  <c:v>44500</c:v>
                </c:pt>
                <c:pt idx="11">
                  <c:v>44530</c:v>
                </c:pt>
                <c:pt idx="12">
                  <c:v>44561</c:v>
                </c:pt>
                <c:pt idx="13">
                  <c:v>44592</c:v>
                </c:pt>
                <c:pt idx="14">
                  <c:v>44620</c:v>
                </c:pt>
                <c:pt idx="15">
                  <c:v>44651</c:v>
                </c:pt>
                <c:pt idx="16">
                  <c:v>44681</c:v>
                </c:pt>
                <c:pt idx="17">
                  <c:v>44712</c:v>
                </c:pt>
                <c:pt idx="18">
                  <c:v>44742</c:v>
                </c:pt>
                <c:pt idx="19">
                  <c:v>44773</c:v>
                </c:pt>
                <c:pt idx="20">
                  <c:v>44804</c:v>
                </c:pt>
                <c:pt idx="21">
                  <c:v>44834</c:v>
                </c:pt>
                <c:pt idx="22">
                  <c:v>44865</c:v>
                </c:pt>
                <c:pt idx="23">
                  <c:v>44895</c:v>
                </c:pt>
              </c:numCache>
            </c:numRef>
          </c:cat>
          <c:val>
            <c:numRef>
              <c:f>Rentabilidad!$S$17:$S$40</c:f>
              <c:numCache>
                <c:formatCode>#,##0</c:formatCode>
                <c:ptCount val="24"/>
                <c:pt idx="0">
                  <c:v>1669</c:v>
                </c:pt>
                <c:pt idx="1">
                  <c:v>1668</c:v>
                </c:pt>
                <c:pt idx="2">
                  <c:v>1659</c:v>
                </c:pt>
                <c:pt idx="3">
                  <c:v>1629</c:v>
                </c:pt>
                <c:pt idx="4">
                  <c:v>1629</c:v>
                </c:pt>
                <c:pt idx="5">
                  <c:v>1613</c:v>
                </c:pt>
                <c:pt idx="6">
                  <c:v>1586</c:v>
                </c:pt>
                <c:pt idx="7">
                  <c:v>1572</c:v>
                </c:pt>
                <c:pt idx="8">
                  <c:v>1507</c:v>
                </c:pt>
                <c:pt idx="9">
                  <c:v>1469</c:v>
                </c:pt>
                <c:pt idx="10">
                  <c:v>1432</c:v>
                </c:pt>
                <c:pt idx="11">
                  <c:v>1379</c:v>
                </c:pt>
                <c:pt idx="12">
                  <c:v>1350</c:v>
                </c:pt>
                <c:pt idx="13">
                  <c:v>1330</c:v>
                </c:pt>
                <c:pt idx="14">
                  <c:v>1308</c:v>
                </c:pt>
                <c:pt idx="15">
                  <c:v>1285</c:v>
                </c:pt>
                <c:pt idx="16">
                  <c:v>1266</c:v>
                </c:pt>
                <c:pt idx="17">
                  <c:v>1226</c:v>
                </c:pt>
                <c:pt idx="18">
                  <c:v>1197</c:v>
                </c:pt>
                <c:pt idx="19">
                  <c:v>1161</c:v>
                </c:pt>
                <c:pt idx="20">
                  <c:v>1145</c:v>
                </c:pt>
                <c:pt idx="21">
                  <c:v>1125</c:v>
                </c:pt>
                <c:pt idx="22">
                  <c:v>1103</c:v>
                </c:pt>
                <c:pt idx="23">
                  <c:v>1090</c:v>
                </c:pt>
              </c:numCache>
            </c:numRef>
          </c:val>
          <c:smooth val="0"/>
          <c:extLst>
            <c:ext xmlns:c16="http://schemas.microsoft.com/office/drawing/2014/chart" uri="{C3380CC4-5D6E-409C-BE32-E72D297353CC}">
              <c16:uniqueId val="{00000007-7ABA-4AB7-9015-52DD8471D6E6}"/>
            </c:ext>
          </c:extLst>
        </c:ser>
        <c:dLbls>
          <c:showLegendKey val="0"/>
          <c:showVal val="0"/>
          <c:showCatName val="0"/>
          <c:showSerName val="0"/>
          <c:showPercent val="0"/>
          <c:showBubbleSize val="0"/>
        </c:dLbls>
        <c:marker val="1"/>
        <c:smooth val="0"/>
        <c:axId val="507816576"/>
        <c:axId val="507814272"/>
      </c:lineChart>
      <c:dateAx>
        <c:axId val="507735424"/>
        <c:scaling>
          <c:orientation val="minMax"/>
        </c:scaling>
        <c:delete val="0"/>
        <c:axPos val="b"/>
        <c:numFmt formatCode="[$-C0A]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507798272"/>
        <c:crosses val="autoZero"/>
        <c:auto val="1"/>
        <c:lblOffset val="100"/>
        <c:baseTimeUnit val="months"/>
        <c:majorUnit val="1"/>
        <c:majorTimeUnit val="months"/>
      </c:dateAx>
      <c:valAx>
        <c:axId val="507798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507735424"/>
        <c:crosses val="autoZero"/>
        <c:crossBetween val="between"/>
        <c:dispUnits>
          <c:builtInUnit val="millions"/>
          <c:dispUnitsLbl>
            <c:layout>
              <c:manualLayout>
                <c:xMode val="edge"/>
                <c:yMode val="edge"/>
                <c:x val="1.5435501653803748E-2"/>
                <c:y val="0.31754032258064518"/>
              </c:manualLayout>
            </c:layout>
            <c:tx>
              <c:rich>
                <a:bodyPr rot="-54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r>
                    <a:rPr lang="es-CL"/>
                    <a:t>$MM</a:t>
                  </a:r>
                </a:p>
              </c:rich>
            </c:tx>
            <c:spPr>
              <a:noFill/>
              <a:ln>
                <a:noFill/>
              </a:ln>
              <a:effectLst/>
            </c:spPr>
            <c:txPr>
              <a:bodyPr rot="-54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dispUnitsLbl>
        </c:dispUnits>
      </c:valAx>
      <c:valAx>
        <c:axId val="507814272"/>
        <c:scaling>
          <c:orientation val="minMax"/>
          <c:max val="1700"/>
          <c:min val="1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507816576"/>
        <c:crosses val="max"/>
        <c:crossBetween val="between"/>
        <c:majorUnit val="100"/>
      </c:valAx>
      <c:dateAx>
        <c:axId val="507816576"/>
        <c:scaling>
          <c:orientation val="minMax"/>
        </c:scaling>
        <c:delete val="1"/>
        <c:axPos val="b"/>
        <c:numFmt formatCode="m/d/yyyy" sourceLinked="1"/>
        <c:majorTickMark val="out"/>
        <c:minorTickMark val="none"/>
        <c:tickLblPos val="nextTo"/>
        <c:crossAx val="507814272"/>
        <c:crosses val="autoZero"/>
        <c:auto val="1"/>
        <c:lblOffset val="100"/>
        <c:baseTimeUnit val="months"/>
      </c:dateAx>
      <c:spPr>
        <a:noFill/>
        <a:ln>
          <a:noFill/>
        </a:ln>
        <a:effectLst/>
      </c:spPr>
    </c:plotArea>
    <c:legend>
      <c:legendPos val="b"/>
      <c:legendEntry>
        <c:idx val="1"/>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rgbClr val="24224F"/>
          </a:solidFill>
          <a:latin typeface="Myriad Pro" panose="020B0503030403020204" pitchFamily="34" charset="0"/>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DisCartera!$AK$2</c:f>
              <c:strCache>
                <c:ptCount val="1"/>
                <c:pt idx="0">
                  <c:v>BNEE</c:v>
                </c:pt>
              </c:strCache>
            </c:strRef>
          </c:tx>
          <c:spPr>
            <a:solidFill>
              <a:srgbClr val="333D6B"/>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DisCartera!$AK$3:$AK$62</c:f>
              <c:numCache>
                <c:formatCode>0.00%</c:formatCode>
                <c:ptCount val="60"/>
                <c:pt idx="0">
                  <c:v>0.23320000000000005</c:v>
                </c:pt>
                <c:pt idx="1">
                  <c:v>0.22032000000000002</c:v>
                </c:pt>
                <c:pt idx="2">
                  <c:v>0.22881000000000001</c:v>
                </c:pt>
                <c:pt idx="3">
                  <c:v>0.22636000000000001</c:v>
                </c:pt>
                <c:pt idx="4">
                  <c:v>0.16902</c:v>
                </c:pt>
                <c:pt idx="5">
                  <c:v>0.16347</c:v>
                </c:pt>
                <c:pt idx="6">
                  <c:v>0.17800999999999997</c:v>
                </c:pt>
                <c:pt idx="7">
                  <c:v>0.16494999999999999</c:v>
                </c:pt>
                <c:pt idx="8">
                  <c:v>0.17797000000000002</c:v>
                </c:pt>
                <c:pt idx="9">
                  <c:v>0.18141999999999997</c:v>
                </c:pt>
                <c:pt idx="10">
                  <c:v>0.19592000000000001</c:v>
                </c:pt>
                <c:pt idx="11">
                  <c:v>0.18078</c:v>
                </c:pt>
                <c:pt idx="12">
                  <c:v>0.20919000000000001</c:v>
                </c:pt>
                <c:pt idx="13">
                  <c:v>0.20247999999999999</c:v>
                </c:pt>
                <c:pt idx="14">
                  <c:v>0.21939999999999998</c:v>
                </c:pt>
                <c:pt idx="15">
                  <c:v>0.25215000000000004</c:v>
                </c:pt>
                <c:pt idx="16">
                  <c:v>0.23511999999999997</c:v>
                </c:pt>
                <c:pt idx="17">
                  <c:v>0.24054</c:v>
                </c:pt>
                <c:pt idx="18">
                  <c:v>0.2722</c:v>
                </c:pt>
                <c:pt idx="19">
                  <c:v>0.28576999999999991</c:v>
                </c:pt>
                <c:pt idx="20">
                  <c:v>0.27646999999999999</c:v>
                </c:pt>
                <c:pt idx="21">
                  <c:v>0.24329999999999996</c:v>
                </c:pt>
                <c:pt idx="22">
                  <c:v>0.23784000000000005</c:v>
                </c:pt>
                <c:pt idx="23">
                  <c:v>0.23874999999999996</c:v>
                </c:pt>
                <c:pt idx="24">
                  <c:v>0.23982000000000006</c:v>
                </c:pt>
                <c:pt idx="25">
                  <c:v>0.16827999999999999</c:v>
                </c:pt>
                <c:pt idx="26">
                  <c:v>0.18308999999999997</c:v>
                </c:pt>
                <c:pt idx="27">
                  <c:v>0.19613000000000003</c:v>
                </c:pt>
                <c:pt idx="28">
                  <c:v>0.19432000000000005</c:v>
                </c:pt>
                <c:pt idx="29">
                  <c:v>0.19295000000000001</c:v>
                </c:pt>
                <c:pt idx="30">
                  <c:v>0.19244000000000003</c:v>
                </c:pt>
                <c:pt idx="31">
                  <c:v>0.19635999999999995</c:v>
                </c:pt>
                <c:pt idx="32">
                  <c:v>0.19987999999999992</c:v>
                </c:pt>
                <c:pt idx="33">
                  <c:v>0.19139000000000003</c:v>
                </c:pt>
                <c:pt idx="34">
                  <c:v>0.19577999999999995</c:v>
                </c:pt>
                <c:pt idx="35">
                  <c:v>0.19636999999999996</c:v>
                </c:pt>
                <c:pt idx="36">
                  <c:v>0.18002000000000004</c:v>
                </c:pt>
                <c:pt idx="37">
                  <c:v>0.17727999999999999</c:v>
                </c:pt>
                <c:pt idx="38">
                  <c:v>0.15465000000000004</c:v>
                </c:pt>
                <c:pt idx="39">
                  <c:v>0.15413000000000004</c:v>
                </c:pt>
                <c:pt idx="40">
                  <c:v>0.15189999999999998</c:v>
                </c:pt>
                <c:pt idx="41">
                  <c:v>0.17788000000000001</c:v>
                </c:pt>
                <c:pt idx="42">
                  <c:v>0.17342000000000007</c:v>
                </c:pt>
                <c:pt idx="43">
                  <c:v>0.17412000000000002</c:v>
                </c:pt>
                <c:pt idx="44">
                  <c:v>0.16962999999999998</c:v>
                </c:pt>
                <c:pt idx="45">
                  <c:v>0.18195999999999993</c:v>
                </c:pt>
                <c:pt idx="46">
                  <c:v>0.16242000000000004</c:v>
                </c:pt>
                <c:pt idx="47">
                  <c:v>0.17351000000000005</c:v>
                </c:pt>
                <c:pt idx="48">
                  <c:v>0.17751999999999998</c:v>
                </c:pt>
                <c:pt idx="49">
                  <c:v>0.18175999999999998</c:v>
                </c:pt>
                <c:pt idx="50">
                  <c:v>0.19585</c:v>
                </c:pt>
                <c:pt idx="51">
                  <c:v>0.19026000000000004</c:v>
                </c:pt>
                <c:pt idx="52">
                  <c:v>0.18876999999999999</c:v>
                </c:pt>
                <c:pt idx="53">
                  <c:v>0.18294000000000007</c:v>
                </c:pt>
                <c:pt idx="54">
                  <c:v>0.18572999999999998</c:v>
                </c:pt>
                <c:pt idx="55">
                  <c:v>0.18162000000000006</c:v>
                </c:pt>
                <c:pt idx="56">
                  <c:v>0.17733000000000002</c:v>
                </c:pt>
                <c:pt idx="57">
                  <c:v>0.19154000000000002</c:v>
                </c:pt>
                <c:pt idx="58">
                  <c:v>0.1771600000000001</c:v>
                </c:pt>
                <c:pt idx="59">
                  <c:v>0.17759000000000003</c:v>
                </c:pt>
              </c:numCache>
            </c:numRef>
          </c:val>
          <c:extLst>
            <c:ext xmlns:c16="http://schemas.microsoft.com/office/drawing/2014/chart" uri="{C3380CC4-5D6E-409C-BE32-E72D297353CC}">
              <c16:uniqueId val="{00000000-9DBA-46D0-AB2C-914761192DCC}"/>
            </c:ext>
          </c:extLst>
        </c:ser>
        <c:ser>
          <c:idx val="1"/>
          <c:order val="1"/>
          <c:tx>
            <c:strRef>
              <c:f>DisCartera!$AL$2</c:f>
              <c:strCache>
                <c:ptCount val="1"/>
                <c:pt idx="0">
                  <c:v>BBNEE</c:v>
                </c:pt>
              </c:strCache>
            </c:strRef>
          </c:tx>
          <c:spPr>
            <a:solidFill>
              <a:srgbClr val="46AC46"/>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DisCartera!$AL$3:$AL$62</c:f>
              <c:numCache>
                <c:formatCode>0.00%</c:formatCode>
                <c:ptCount val="60"/>
                <c:pt idx="0">
                  <c:v>0</c:v>
                </c:pt>
                <c:pt idx="1">
                  <c:v>0</c:v>
                </c:pt>
                <c:pt idx="2">
                  <c:v>0</c:v>
                </c:pt>
                <c:pt idx="3">
                  <c:v>0</c:v>
                </c:pt>
                <c:pt idx="4">
                  <c:v>0</c:v>
                </c:pt>
                <c:pt idx="5">
                  <c:v>1.4590000000000001E-2</c:v>
                </c:pt>
                <c:pt idx="6">
                  <c:v>1.576E-2</c:v>
                </c:pt>
                <c:pt idx="7">
                  <c:v>2.5959999999999997E-2</c:v>
                </c:pt>
                <c:pt idx="8">
                  <c:v>2.9420000000000002E-2</c:v>
                </c:pt>
                <c:pt idx="9">
                  <c:v>2.7990000000000001E-2</c:v>
                </c:pt>
                <c:pt idx="10">
                  <c:v>3.082E-2</c:v>
                </c:pt>
                <c:pt idx="11">
                  <c:v>3.0230000000000003E-2</c:v>
                </c:pt>
                <c:pt idx="12">
                  <c:v>1.2189999999999999E-2</c:v>
                </c:pt>
                <c:pt idx="13">
                  <c:v>1.2240000000000001E-2</c:v>
                </c:pt>
                <c:pt idx="14">
                  <c:v>1.2469999999999998E-2</c:v>
                </c:pt>
                <c:pt idx="15">
                  <c:v>1.7410000000000002E-2</c:v>
                </c:pt>
                <c:pt idx="16">
                  <c:v>1.7250000000000001E-2</c:v>
                </c:pt>
                <c:pt idx="17">
                  <c:v>1.7570000000000002E-2</c:v>
                </c:pt>
                <c:pt idx="18">
                  <c:v>1.6639999999999999E-2</c:v>
                </c:pt>
                <c:pt idx="19">
                  <c:v>1.069E-2</c:v>
                </c:pt>
                <c:pt idx="20">
                  <c:v>1.0759999999999999E-2</c:v>
                </c:pt>
                <c:pt idx="21">
                  <c:v>5.8099999999999992E-3</c:v>
                </c:pt>
                <c:pt idx="22">
                  <c:v>5.7999999999999996E-3</c:v>
                </c:pt>
                <c:pt idx="23">
                  <c:v>5.7199999999999994E-3</c:v>
                </c:pt>
                <c:pt idx="24">
                  <c:v>1.24E-2</c:v>
                </c:pt>
                <c:pt idx="25">
                  <c:v>1.085E-2</c:v>
                </c:pt>
                <c:pt idx="26">
                  <c:v>1.1729999999999999E-2</c:v>
                </c:pt>
                <c:pt idx="27">
                  <c:v>6.9399999999999991E-3</c:v>
                </c:pt>
                <c:pt idx="28">
                  <c:v>6.8799999999999998E-3</c:v>
                </c:pt>
                <c:pt idx="29">
                  <c:v>6.8799999999999998E-3</c:v>
                </c:pt>
                <c:pt idx="30">
                  <c:v>6.6700000000000006E-3</c:v>
                </c:pt>
                <c:pt idx="31">
                  <c:v>1.0800000000000001E-2</c:v>
                </c:pt>
                <c:pt idx="32">
                  <c:v>1.44E-2</c:v>
                </c:pt>
                <c:pt idx="33">
                  <c:v>2.2210000000000001E-2</c:v>
                </c:pt>
                <c:pt idx="34">
                  <c:v>2.147E-2</c:v>
                </c:pt>
                <c:pt idx="35">
                  <c:v>2.6839999999999996E-2</c:v>
                </c:pt>
                <c:pt idx="36">
                  <c:v>3.0280000000000005E-2</c:v>
                </c:pt>
                <c:pt idx="37">
                  <c:v>3.288E-2</c:v>
                </c:pt>
                <c:pt idx="38">
                  <c:v>3.431E-2</c:v>
                </c:pt>
                <c:pt idx="39">
                  <c:v>2.6319999999999996E-2</c:v>
                </c:pt>
                <c:pt idx="40">
                  <c:v>2.649E-2</c:v>
                </c:pt>
                <c:pt idx="41">
                  <c:v>3.0940000000000006E-2</c:v>
                </c:pt>
                <c:pt idx="42">
                  <c:v>3.8530000000000002E-2</c:v>
                </c:pt>
                <c:pt idx="43">
                  <c:v>3.9070000000000001E-2</c:v>
                </c:pt>
                <c:pt idx="44">
                  <c:v>3.6140000000000005E-2</c:v>
                </c:pt>
                <c:pt idx="45">
                  <c:v>3.7069999999999999E-2</c:v>
                </c:pt>
                <c:pt idx="46">
                  <c:v>4.768E-2</c:v>
                </c:pt>
                <c:pt idx="47">
                  <c:v>3.0100000000000002E-2</c:v>
                </c:pt>
                <c:pt idx="48">
                  <c:v>3.1479999999999994E-2</c:v>
                </c:pt>
                <c:pt idx="49">
                  <c:v>3.2680000000000001E-2</c:v>
                </c:pt>
                <c:pt idx="50">
                  <c:v>3.4170000000000006E-2</c:v>
                </c:pt>
                <c:pt idx="51">
                  <c:v>2.1999999999999999E-2</c:v>
                </c:pt>
                <c:pt idx="52">
                  <c:v>2.2749999999999999E-2</c:v>
                </c:pt>
                <c:pt idx="53">
                  <c:v>2.4160000000000001E-2</c:v>
                </c:pt>
                <c:pt idx="54">
                  <c:v>2.511E-2</c:v>
                </c:pt>
                <c:pt idx="55">
                  <c:v>2.5980000000000003E-2</c:v>
                </c:pt>
                <c:pt idx="56">
                  <c:v>1.8690000000000002E-2</c:v>
                </c:pt>
                <c:pt idx="57">
                  <c:v>2.0880000000000003E-2</c:v>
                </c:pt>
                <c:pt idx="58">
                  <c:v>2.12E-2</c:v>
                </c:pt>
                <c:pt idx="59">
                  <c:v>2.0839999999999997E-2</c:v>
                </c:pt>
              </c:numCache>
            </c:numRef>
          </c:val>
          <c:extLst>
            <c:ext xmlns:c16="http://schemas.microsoft.com/office/drawing/2014/chart" uri="{C3380CC4-5D6E-409C-BE32-E72D297353CC}">
              <c16:uniqueId val="{00000001-9DBA-46D0-AB2C-914761192DCC}"/>
            </c:ext>
          </c:extLst>
        </c:ser>
        <c:ser>
          <c:idx val="2"/>
          <c:order val="2"/>
          <c:tx>
            <c:strRef>
              <c:f>DisCartera!$AM$2</c:f>
              <c:strCache>
                <c:ptCount val="1"/>
                <c:pt idx="0">
                  <c:v>DPC</c:v>
                </c:pt>
              </c:strCache>
            </c:strRef>
          </c:tx>
          <c:spPr>
            <a:solidFill>
              <a:schemeClr val="accent3"/>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DisCartera!$AM$3:$AM$62</c:f>
              <c:numCache>
                <c:formatCode>0.00%</c:formatCode>
                <c:ptCount val="60"/>
                <c:pt idx="0">
                  <c:v>5.0499999999999998E-3</c:v>
                </c:pt>
                <c:pt idx="1">
                  <c:v>1.9479999999999997E-2</c:v>
                </c:pt>
                <c:pt idx="2">
                  <c:v>2.8699999999999997E-3</c:v>
                </c:pt>
                <c:pt idx="3">
                  <c:v>9.5799999999999982E-3</c:v>
                </c:pt>
                <c:pt idx="4">
                  <c:v>5.6999999999999998E-4</c:v>
                </c:pt>
                <c:pt idx="5">
                  <c:v>0</c:v>
                </c:pt>
                <c:pt idx="6">
                  <c:v>5.3300000000000005E-3</c:v>
                </c:pt>
                <c:pt idx="7">
                  <c:v>4.2500000000000003E-3</c:v>
                </c:pt>
                <c:pt idx="8">
                  <c:v>2.3E-3</c:v>
                </c:pt>
                <c:pt idx="9">
                  <c:v>2.2770000000000002E-2</c:v>
                </c:pt>
                <c:pt idx="10">
                  <c:v>3.2300000000000002E-3</c:v>
                </c:pt>
                <c:pt idx="11">
                  <c:v>1.2119999999999999E-2</c:v>
                </c:pt>
                <c:pt idx="12">
                  <c:v>2.317E-2</c:v>
                </c:pt>
                <c:pt idx="13">
                  <c:v>1.4840000000000002E-2</c:v>
                </c:pt>
                <c:pt idx="14">
                  <c:v>2.9199999999999999E-3</c:v>
                </c:pt>
                <c:pt idx="15">
                  <c:v>2.5700000000000002E-3</c:v>
                </c:pt>
                <c:pt idx="16">
                  <c:v>1.039E-2</c:v>
                </c:pt>
                <c:pt idx="17">
                  <c:v>5.1700000000000001E-3</c:v>
                </c:pt>
                <c:pt idx="18">
                  <c:v>1.9870000000000002E-2</c:v>
                </c:pt>
                <c:pt idx="19">
                  <c:v>1.9599999999999999E-3</c:v>
                </c:pt>
                <c:pt idx="20">
                  <c:v>5.6699999999999997E-3</c:v>
                </c:pt>
                <c:pt idx="21">
                  <c:v>1.057E-2</c:v>
                </c:pt>
                <c:pt idx="22">
                  <c:v>1.374E-2</c:v>
                </c:pt>
                <c:pt idx="23">
                  <c:v>7.2900000000000013E-3</c:v>
                </c:pt>
                <c:pt idx="24">
                  <c:v>2.5400000000000002E-3</c:v>
                </c:pt>
                <c:pt idx="25">
                  <c:v>1.6369999999999999E-2</c:v>
                </c:pt>
                <c:pt idx="26">
                  <c:v>1.061E-2</c:v>
                </c:pt>
                <c:pt idx="27">
                  <c:v>4.4999999999999999E-4</c:v>
                </c:pt>
                <c:pt idx="28">
                  <c:v>4.6999999999999999E-4</c:v>
                </c:pt>
                <c:pt idx="29">
                  <c:v>1.1000000000000001E-3</c:v>
                </c:pt>
                <c:pt idx="30">
                  <c:v>6.1800000000000006E-3</c:v>
                </c:pt>
                <c:pt idx="31">
                  <c:v>8.7399999999999995E-3</c:v>
                </c:pt>
                <c:pt idx="32">
                  <c:v>8.8400000000000006E-3</c:v>
                </c:pt>
                <c:pt idx="33">
                  <c:v>7.7000000000000007E-4</c:v>
                </c:pt>
                <c:pt idx="34">
                  <c:v>4.3699999999999998E-3</c:v>
                </c:pt>
                <c:pt idx="35">
                  <c:v>7.7800000000000005E-3</c:v>
                </c:pt>
                <c:pt idx="36">
                  <c:v>1.0869999999999998E-2</c:v>
                </c:pt>
                <c:pt idx="37">
                  <c:v>6.2000000000000011E-4</c:v>
                </c:pt>
                <c:pt idx="38">
                  <c:v>2.239E-2</c:v>
                </c:pt>
                <c:pt idx="39">
                  <c:v>4.0099999999999997E-3</c:v>
                </c:pt>
                <c:pt idx="40">
                  <c:v>1.338E-2</c:v>
                </c:pt>
                <c:pt idx="41">
                  <c:v>6.0099999999999997E-3</c:v>
                </c:pt>
                <c:pt idx="42">
                  <c:v>8.1300000000000001E-3</c:v>
                </c:pt>
                <c:pt idx="43">
                  <c:v>9.4500000000000001E-3</c:v>
                </c:pt>
                <c:pt idx="44">
                  <c:v>5.5800000000000008E-3</c:v>
                </c:pt>
                <c:pt idx="45">
                  <c:v>8.0099999999999998E-3</c:v>
                </c:pt>
                <c:pt idx="46">
                  <c:v>2.4199999999999998E-3</c:v>
                </c:pt>
                <c:pt idx="47">
                  <c:v>1.3330000000000002E-2</c:v>
                </c:pt>
                <c:pt idx="48">
                  <c:v>1.47E-3</c:v>
                </c:pt>
                <c:pt idx="49">
                  <c:v>7.6800000000000002E-3</c:v>
                </c:pt>
                <c:pt idx="50">
                  <c:v>6.6999999999999994E-3</c:v>
                </c:pt>
                <c:pt idx="51">
                  <c:v>7.9299999999999995E-3</c:v>
                </c:pt>
                <c:pt idx="52">
                  <c:v>2.4389999999999998E-2</c:v>
                </c:pt>
                <c:pt idx="53">
                  <c:v>1.34E-3</c:v>
                </c:pt>
                <c:pt idx="54">
                  <c:v>5.3200000000000009E-3</c:v>
                </c:pt>
                <c:pt idx="55">
                  <c:v>8.320000000000001E-3</c:v>
                </c:pt>
                <c:pt idx="56">
                  <c:v>1.4419999999999999E-2</c:v>
                </c:pt>
                <c:pt idx="57">
                  <c:v>6.6700000000000006E-3</c:v>
                </c:pt>
                <c:pt idx="58">
                  <c:v>8.3000000000000001E-3</c:v>
                </c:pt>
                <c:pt idx="59">
                  <c:v>4.5999999999999999E-3</c:v>
                </c:pt>
              </c:numCache>
            </c:numRef>
          </c:val>
          <c:extLst>
            <c:ext xmlns:c16="http://schemas.microsoft.com/office/drawing/2014/chart" uri="{C3380CC4-5D6E-409C-BE32-E72D297353CC}">
              <c16:uniqueId val="{00000002-9DBA-46D0-AB2C-914761192DCC}"/>
            </c:ext>
          </c:extLst>
        </c:ser>
        <c:ser>
          <c:idx val="3"/>
          <c:order val="3"/>
          <c:tx>
            <c:strRef>
              <c:f>DisCartera!$AN$2</c:f>
              <c:strCache>
                <c:ptCount val="1"/>
                <c:pt idx="0">
                  <c:v>BEE</c:v>
                </c:pt>
              </c:strCache>
            </c:strRef>
          </c:tx>
          <c:spPr>
            <a:solidFill>
              <a:srgbClr val="878787"/>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DisCartera!$AN$3:$AN$62</c:f>
              <c:numCache>
                <c:formatCode>0.00%</c:formatCode>
                <c:ptCount val="60"/>
                <c:pt idx="0">
                  <c:v>0.53664000000000001</c:v>
                </c:pt>
                <c:pt idx="1">
                  <c:v>0.53461000000000014</c:v>
                </c:pt>
                <c:pt idx="2">
                  <c:v>0.54164999999999996</c:v>
                </c:pt>
                <c:pt idx="3">
                  <c:v>0.5488900000000001</c:v>
                </c:pt>
                <c:pt idx="4">
                  <c:v>0.6118699999999998</c:v>
                </c:pt>
                <c:pt idx="5">
                  <c:v>0.56889999999999996</c:v>
                </c:pt>
                <c:pt idx="6">
                  <c:v>0.56555999999999995</c:v>
                </c:pt>
                <c:pt idx="7">
                  <c:v>0.54083999999999988</c:v>
                </c:pt>
                <c:pt idx="8">
                  <c:v>0.5847</c:v>
                </c:pt>
                <c:pt idx="9">
                  <c:v>0.53793000000000024</c:v>
                </c:pt>
                <c:pt idx="10">
                  <c:v>0.56640000000000001</c:v>
                </c:pt>
                <c:pt idx="11">
                  <c:v>0.53397000000000006</c:v>
                </c:pt>
                <c:pt idx="12">
                  <c:v>0.53326999999999991</c:v>
                </c:pt>
                <c:pt idx="13">
                  <c:v>0.52993000000000035</c:v>
                </c:pt>
                <c:pt idx="14">
                  <c:v>0.53937000000000013</c:v>
                </c:pt>
                <c:pt idx="15">
                  <c:v>0.44438000000000005</c:v>
                </c:pt>
                <c:pt idx="16">
                  <c:v>0.47813000000000028</c:v>
                </c:pt>
                <c:pt idx="17">
                  <c:v>0.47130000000000016</c:v>
                </c:pt>
                <c:pt idx="18">
                  <c:v>0.48932000000000003</c:v>
                </c:pt>
                <c:pt idx="19">
                  <c:v>0.51171999999999984</c:v>
                </c:pt>
                <c:pt idx="20">
                  <c:v>0.54230000000000012</c:v>
                </c:pt>
                <c:pt idx="21">
                  <c:v>0.57525000000000004</c:v>
                </c:pt>
                <c:pt idx="22">
                  <c:v>0.59685000000000021</c:v>
                </c:pt>
                <c:pt idx="23">
                  <c:v>0.57674999999999998</c:v>
                </c:pt>
                <c:pt idx="24">
                  <c:v>0.56219999999999981</c:v>
                </c:pt>
                <c:pt idx="25">
                  <c:v>0.55424000000000007</c:v>
                </c:pt>
                <c:pt idx="26">
                  <c:v>0.62179000000000006</c:v>
                </c:pt>
                <c:pt idx="27">
                  <c:v>0.63575000000000037</c:v>
                </c:pt>
                <c:pt idx="28">
                  <c:v>0.64118000000000019</c:v>
                </c:pt>
                <c:pt idx="29">
                  <c:v>0.66161000000000003</c:v>
                </c:pt>
                <c:pt idx="30">
                  <c:v>0.65580999999999989</c:v>
                </c:pt>
                <c:pt idx="31">
                  <c:v>0.63396000000000019</c:v>
                </c:pt>
                <c:pt idx="32">
                  <c:v>0.63413000000000019</c:v>
                </c:pt>
                <c:pt idx="33">
                  <c:v>0.6321399999999997</c:v>
                </c:pt>
                <c:pt idx="34">
                  <c:v>0.62875000000000014</c:v>
                </c:pt>
                <c:pt idx="35">
                  <c:v>0.62880000000000036</c:v>
                </c:pt>
                <c:pt idx="36">
                  <c:v>0.64739999999999964</c:v>
                </c:pt>
                <c:pt idx="37">
                  <c:v>0.66028000000000009</c:v>
                </c:pt>
                <c:pt idx="38">
                  <c:v>0.65816000000000052</c:v>
                </c:pt>
                <c:pt idx="39">
                  <c:v>0.67825999999999997</c:v>
                </c:pt>
                <c:pt idx="40">
                  <c:v>0.69044000000000072</c:v>
                </c:pt>
                <c:pt idx="41">
                  <c:v>0.63898000000000021</c:v>
                </c:pt>
                <c:pt idx="42">
                  <c:v>0.63886000000000065</c:v>
                </c:pt>
                <c:pt idx="43">
                  <c:v>0.63833000000000018</c:v>
                </c:pt>
                <c:pt idx="44">
                  <c:v>0.64644000000000057</c:v>
                </c:pt>
                <c:pt idx="45">
                  <c:v>0.63856999999999975</c:v>
                </c:pt>
                <c:pt idx="46">
                  <c:v>0.62951000000000024</c:v>
                </c:pt>
                <c:pt idx="47">
                  <c:v>0.63319999999999976</c:v>
                </c:pt>
                <c:pt idx="48">
                  <c:v>0.63564000000000009</c:v>
                </c:pt>
                <c:pt idx="49">
                  <c:v>0.62714999999999943</c:v>
                </c:pt>
                <c:pt idx="50">
                  <c:v>0.63178999999999996</c:v>
                </c:pt>
                <c:pt idx="51">
                  <c:v>0.63377999999999968</c:v>
                </c:pt>
                <c:pt idx="52">
                  <c:v>0.63616999999999979</c:v>
                </c:pt>
                <c:pt idx="53">
                  <c:v>0.67333000000000021</c:v>
                </c:pt>
                <c:pt idx="54">
                  <c:v>0.65672000000000019</c:v>
                </c:pt>
                <c:pt idx="55">
                  <c:v>0.66893999999999987</c:v>
                </c:pt>
                <c:pt idx="56">
                  <c:v>0.65319000000000016</c:v>
                </c:pt>
                <c:pt idx="57">
                  <c:v>0.66317000000000026</c:v>
                </c:pt>
                <c:pt idx="58">
                  <c:v>0.68052000000000035</c:v>
                </c:pt>
                <c:pt idx="59">
                  <c:v>0.68391000000000002</c:v>
                </c:pt>
              </c:numCache>
            </c:numRef>
          </c:val>
          <c:extLst>
            <c:ext xmlns:c16="http://schemas.microsoft.com/office/drawing/2014/chart" uri="{C3380CC4-5D6E-409C-BE32-E72D297353CC}">
              <c16:uniqueId val="{00000003-9DBA-46D0-AB2C-914761192DCC}"/>
            </c:ext>
          </c:extLst>
        </c:ser>
        <c:ser>
          <c:idx val="4"/>
          <c:order val="4"/>
          <c:tx>
            <c:strRef>
              <c:f>DisCartera!$AO$2</c:f>
              <c:strCache>
                <c:ptCount val="1"/>
                <c:pt idx="0">
                  <c:v>BBFE</c:v>
                </c:pt>
              </c:strCache>
            </c:strRef>
          </c:tx>
          <c:spPr>
            <a:solidFill>
              <a:srgbClr val="AE1619"/>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DisCartera!$AO$3:$AO$62</c:f>
              <c:numCache>
                <c:formatCode>0.00%</c:formatCode>
                <c:ptCount val="60"/>
                <c:pt idx="0">
                  <c:v>0.2109</c:v>
                </c:pt>
                <c:pt idx="1">
                  <c:v>0.19025999999999998</c:v>
                </c:pt>
                <c:pt idx="2">
                  <c:v>0.20233000000000001</c:v>
                </c:pt>
                <c:pt idx="3">
                  <c:v>0.19926000000000002</c:v>
                </c:pt>
                <c:pt idx="4">
                  <c:v>0.21554000000000001</c:v>
                </c:pt>
                <c:pt idx="5">
                  <c:v>0.21704999999999994</c:v>
                </c:pt>
                <c:pt idx="6">
                  <c:v>0.23476000000000002</c:v>
                </c:pt>
                <c:pt idx="7">
                  <c:v>0.21265000000000003</c:v>
                </c:pt>
                <c:pt idx="8">
                  <c:v>0.20227000000000001</c:v>
                </c:pt>
                <c:pt idx="9">
                  <c:v>0.18700000000000006</c:v>
                </c:pt>
                <c:pt idx="10">
                  <c:v>0.20330000000000004</c:v>
                </c:pt>
                <c:pt idx="11">
                  <c:v>0.19823000000000002</c:v>
                </c:pt>
                <c:pt idx="12">
                  <c:v>0.22103</c:v>
                </c:pt>
                <c:pt idx="13">
                  <c:v>0.21887999999999999</c:v>
                </c:pt>
                <c:pt idx="14">
                  <c:v>0.22379000000000002</c:v>
                </c:pt>
                <c:pt idx="15">
                  <c:v>0.23627999999999996</c:v>
                </c:pt>
                <c:pt idx="16">
                  <c:v>0.25104000000000004</c:v>
                </c:pt>
                <c:pt idx="17">
                  <c:v>0.25458000000000003</c:v>
                </c:pt>
                <c:pt idx="18">
                  <c:v>0.18616000000000002</c:v>
                </c:pt>
                <c:pt idx="19">
                  <c:v>0.18799999999999997</c:v>
                </c:pt>
                <c:pt idx="20">
                  <c:v>0.16253000000000006</c:v>
                </c:pt>
                <c:pt idx="21">
                  <c:v>0.16368000000000005</c:v>
                </c:pt>
                <c:pt idx="22">
                  <c:v>0.14183999999999999</c:v>
                </c:pt>
                <c:pt idx="23">
                  <c:v>0.14180000000000004</c:v>
                </c:pt>
                <c:pt idx="24">
                  <c:v>0.18242</c:v>
                </c:pt>
                <c:pt idx="25">
                  <c:v>0.16350999999999993</c:v>
                </c:pt>
                <c:pt idx="26">
                  <c:v>0.17176999999999998</c:v>
                </c:pt>
                <c:pt idx="27">
                  <c:v>0.15388999999999997</c:v>
                </c:pt>
                <c:pt idx="28">
                  <c:v>0.15398999999999996</c:v>
                </c:pt>
                <c:pt idx="29">
                  <c:v>0.13652</c:v>
                </c:pt>
                <c:pt idx="30">
                  <c:v>0.13744000000000001</c:v>
                </c:pt>
                <c:pt idx="31">
                  <c:v>0.14097999999999999</c:v>
                </c:pt>
                <c:pt idx="32">
                  <c:v>0.14187999999999998</c:v>
                </c:pt>
                <c:pt idx="33">
                  <c:v>0.15091000000000007</c:v>
                </c:pt>
                <c:pt idx="34">
                  <c:v>0.14748000000000003</c:v>
                </c:pt>
                <c:pt idx="35">
                  <c:v>0.13463</c:v>
                </c:pt>
                <c:pt idx="36">
                  <c:v>0.12913000000000005</c:v>
                </c:pt>
                <c:pt idx="37">
                  <c:v>0.12711999999999998</c:v>
                </c:pt>
                <c:pt idx="38">
                  <c:v>0.12977</c:v>
                </c:pt>
                <c:pt idx="39">
                  <c:v>0.13351999999999997</c:v>
                </c:pt>
                <c:pt idx="40">
                  <c:v>0.11492999999999999</c:v>
                </c:pt>
                <c:pt idx="41">
                  <c:v>0.14471000000000003</c:v>
                </c:pt>
                <c:pt idx="42">
                  <c:v>0.14011999999999999</c:v>
                </c:pt>
                <c:pt idx="43">
                  <c:v>0.13650999999999999</c:v>
                </c:pt>
                <c:pt idx="44">
                  <c:v>0.12536000000000003</c:v>
                </c:pt>
                <c:pt idx="45">
                  <c:v>0.12262999999999996</c:v>
                </c:pt>
                <c:pt idx="46">
                  <c:v>0.12926999999999997</c:v>
                </c:pt>
                <c:pt idx="47">
                  <c:v>0.13781999999999997</c:v>
                </c:pt>
                <c:pt idx="48">
                  <c:v>0.13452999999999998</c:v>
                </c:pt>
                <c:pt idx="49">
                  <c:v>0.13498999999999997</c:v>
                </c:pt>
                <c:pt idx="50">
                  <c:v>0.11743999999999999</c:v>
                </c:pt>
                <c:pt idx="51">
                  <c:v>0.11821</c:v>
                </c:pt>
                <c:pt idx="52">
                  <c:v>0.11619000000000002</c:v>
                </c:pt>
                <c:pt idx="53">
                  <c:v>0.11207000000000002</c:v>
                </c:pt>
                <c:pt idx="54">
                  <c:v>0.10836999999999999</c:v>
                </c:pt>
                <c:pt idx="55">
                  <c:v>0.11200999999999998</c:v>
                </c:pt>
                <c:pt idx="56">
                  <c:v>0.10972</c:v>
                </c:pt>
                <c:pt idx="57">
                  <c:v>0.11033000000000001</c:v>
                </c:pt>
                <c:pt idx="58">
                  <c:v>0.11110999999999999</c:v>
                </c:pt>
                <c:pt idx="59">
                  <c:v>0.10378000000000001</c:v>
                </c:pt>
              </c:numCache>
            </c:numRef>
          </c:val>
          <c:extLst>
            <c:ext xmlns:c16="http://schemas.microsoft.com/office/drawing/2014/chart" uri="{C3380CC4-5D6E-409C-BE32-E72D297353CC}">
              <c16:uniqueId val="{00000004-9DBA-46D0-AB2C-914761192DCC}"/>
            </c:ext>
          </c:extLst>
        </c:ser>
        <c:ser>
          <c:idx val="5"/>
          <c:order val="5"/>
          <c:tx>
            <c:strRef>
              <c:f>DisCartera!$AP$2</c:f>
              <c:strCache>
                <c:ptCount val="1"/>
                <c:pt idx="0">
                  <c:v>BEBCE</c:v>
                </c:pt>
              </c:strCache>
            </c:strRef>
          </c:tx>
          <c:spPr>
            <a:solidFill>
              <a:srgbClr val="F8DC3B"/>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DisCartera!$AP$3:$AP$62</c:f>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5-9DBA-46D0-AB2C-914761192DCC}"/>
            </c:ext>
          </c:extLst>
        </c:ser>
        <c:ser>
          <c:idx val="6"/>
          <c:order val="6"/>
          <c:tx>
            <c:strRef>
              <c:f>DisCartera!$AQ$2</c:f>
              <c:strCache>
                <c:ptCount val="1"/>
                <c:pt idx="0">
                  <c:v>BEC</c:v>
                </c:pt>
              </c:strCache>
            </c:strRef>
          </c:tx>
          <c:spPr>
            <a:solidFill>
              <a:schemeClr val="accent1">
                <a:lumMod val="60000"/>
              </a:schemeClr>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DisCartera!$AQ$3:$AQ$62</c:f>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6-9DBA-46D0-AB2C-914761192DCC}"/>
            </c:ext>
          </c:extLst>
        </c:ser>
        <c:ser>
          <c:idx val="7"/>
          <c:order val="7"/>
          <c:tx>
            <c:strRef>
              <c:f>DisCartera!$AT$2</c:f>
              <c:strCache>
                <c:ptCount val="1"/>
                <c:pt idx="0">
                  <c:v>BB</c:v>
                </c:pt>
              </c:strCache>
            </c:strRef>
          </c:tx>
          <c:spPr>
            <a:solidFill>
              <a:schemeClr val="accent2">
                <a:lumMod val="60000"/>
              </a:schemeClr>
            </a:solidFill>
            <a:ln>
              <a:noFill/>
            </a:ln>
            <a:effectLst/>
          </c:spPr>
          <c:invertIfNegative val="0"/>
          <c:cat>
            <c:numRef>
              <c:f>DisCartera!$AJ$3:$AJ$62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DisCartera!$AT$3:$AT$62</c:f>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1.0129999999999998E-2</c:v>
                </c:pt>
                <c:pt idx="45">
                  <c:v>1.039E-2</c:v>
                </c:pt>
                <c:pt idx="46">
                  <c:v>1.0780000000000001E-2</c:v>
                </c:pt>
                <c:pt idx="47">
                  <c:v>1.191E-2</c:v>
                </c:pt>
                <c:pt idx="48">
                  <c:v>1.24E-2</c:v>
                </c:pt>
                <c:pt idx="49">
                  <c:v>1.29E-2</c:v>
                </c:pt>
                <c:pt idx="50">
                  <c:v>1.3779999999999999E-2</c:v>
                </c:pt>
                <c:pt idx="51">
                  <c:v>1.379E-2</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7-9DBA-46D0-AB2C-914761192DCC}"/>
            </c:ext>
          </c:extLst>
        </c:ser>
        <c:dLbls>
          <c:showLegendKey val="0"/>
          <c:showVal val="0"/>
          <c:showCatName val="0"/>
          <c:showSerName val="0"/>
          <c:showPercent val="0"/>
          <c:showBubbleSize val="0"/>
        </c:dLbls>
        <c:gapWidth val="0"/>
        <c:overlap val="100"/>
        <c:axId val="756241920"/>
        <c:axId val="756243840"/>
      </c:barChart>
      <c:dateAx>
        <c:axId val="756241920"/>
        <c:scaling>
          <c:orientation val="minMax"/>
        </c:scaling>
        <c:delete val="0"/>
        <c:axPos val="b"/>
        <c:numFmt formatCode="[$-C0A]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756243840"/>
        <c:crosses val="autoZero"/>
        <c:auto val="1"/>
        <c:lblOffset val="100"/>
        <c:baseTimeUnit val="months"/>
        <c:majorUnit val="2"/>
        <c:majorTimeUnit val="months"/>
      </c:dateAx>
      <c:valAx>
        <c:axId val="75624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75624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rgbClr val="24224F"/>
          </a:solidFill>
          <a:latin typeface="Myriad Pro" panose="020B0503030403020204" pitchFamily="34" charset="0"/>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Rentabilidad!$AR$4</c:f>
              <c:strCache>
                <c:ptCount val="1"/>
                <c:pt idx="0">
                  <c:v>L</c:v>
                </c:pt>
              </c:strCache>
            </c:strRef>
          </c:tx>
          <c:spPr>
            <a:ln w="28575" cap="rnd">
              <a:solidFill>
                <a:srgbClr val="333D6B"/>
              </a:solidFill>
              <a:round/>
            </a:ln>
            <a:effectLst/>
          </c:spPr>
          <c:marker>
            <c:symbol val="none"/>
          </c:marker>
          <c:cat>
            <c:numRef>
              <c:f>Rentabilidad!$AO$5:$AO$40</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Rentabilidad!$AR$5:$AR$40</c:f>
              <c:numCache>
                <c:formatCode>#,##0.00</c:formatCode>
                <c:ptCount val="36"/>
                <c:pt idx="0">
                  <c:v>100</c:v>
                </c:pt>
                <c:pt idx="1">
                  <c:v>101.73321318078523</c:v>
                </c:pt>
                <c:pt idx="2">
                  <c:v>102.10438062502139</c:v>
                </c:pt>
                <c:pt idx="3">
                  <c:v>89.946539720683347</c:v>
                </c:pt>
                <c:pt idx="4">
                  <c:v>94.111447825530377</c:v>
                </c:pt>
                <c:pt idx="5">
                  <c:v>98.318561414048446</c:v>
                </c:pt>
                <c:pt idx="6">
                  <c:v>101.13650622245711</c:v>
                </c:pt>
                <c:pt idx="7">
                  <c:v>103.90185260526972</c:v>
                </c:pt>
                <c:pt idx="8">
                  <c:v>104.79773687352424</c:v>
                </c:pt>
                <c:pt idx="9">
                  <c:v>104.62999225599084</c:v>
                </c:pt>
                <c:pt idx="10">
                  <c:v>105.30794160180584</c:v>
                </c:pt>
                <c:pt idx="11">
                  <c:v>108.13970141838308</c:v>
                </c:pt>
                <c:pt idx="12">
                  <c:v>109.77817406149832</c:v>
                </c:pt>
                <c:pt idx="13">
                  <c:v>108.97943845160373</c:v>
                </c:pt>
                <c:pt idx="14">
                  <c:v>108.0862791620247</c:v>
                </c:pt>
                <c:pt idx="15">
                  <c:v>106.61054478027164</c:v>
                </c:pt>
                <c:pt idx="16">
                  <c:v>106.99464003031697</c:v>
                </c:pt>
                <c:pt idx="17">
                  <c:v>106.97119253938861</c:v>
                </c:pt>
                <c:pt idx="18">
                  <c:v>107.74217138975179</c:v>
                </c:pt>
                <c:pt idx="19">
                  <c:v>108.4182195876537</c:v>
                </c:pt>
                <c:pt idx="20">
                  <c:v>109.11429321024035</c:v>
                </c:pt>
                <c:pt idx="21">
                  <c:v>108.36549441886345</c:v>
                </c:pt>
                <c:pt idx="22">
                  <c:v>107.35446395867157</c:v>
                </c:pt>
                <c:pt idx="23">
                  <c:v>106.48703353751662</c:v>
                </c:pt>
                <c:pt idx="24">
                  <c:v>107.43798772365422</c:v>
                </c:pt>
                <c:pt idx="25">
                  <c:v>105.31858803011927</c:v>
                </c:pt>
                <c:pt idx="26">
                  <c:v>102.43606756426198</c:v>
                </c:pt>
                <c:pt idx="27">
                  <c:v>101.31274263400243</c:v>
                </c:pt>
                <c:pt idx="28">
                  <c:v>97.544984328204052</c:v>
                </c:pt>
                <c:pt idx="29">
                  <c:v>97.050115526421536</c:v>
                </c:pt>
                <c:pt idx="30">
                  <c:v>93.74934251968007</c:v>
                </c:pt>
                <c:pt idx="31">
                  <c:v>94.45574571259462</c:v>
                </c:pt>
                <c:pt idx="32">
                  <c:v>94.983757859662347</c:v>
                </c:pt>
                <c:pt idx="33">
                  <c:v>89.616183584981954</c:v>
                </c:pt>
                <c:pt idx="34">
                  <c:v>89.126257767773524</c:v>
                </c:pt>
                <c:pt idx="35">
                  <c:v>93.522218715660514</c:v>
                </c:pt>
              </c:numCache>
            </c:numRef>
          </c:val>
          <c:smooth val="0"/>
          <c:extLst>
            <c:ext xmlns:c16="http://schemas.microsoft.com/office/drawing/2014/chart" uri="{C3380CC4-5D6E-409C-BE32-E72D297353CC}">
              <c16:uniqueId val="{00000000-7B7A-4C53-8BE3-5A6EC6C663F4}"/>
            </c:ext>
          </c:extLst>
        </c:ser>
        <c:ser>
          <c:idx val="5"/>
          <c:order val="1"/>
          <c:tx>
            <c:strRef>
              <c:f>Rentabilidad!$AS$4</c:f>
              <c:strCache>
                <c:ptCount val="1"/>
                <c:pt idx="0">
                  <c:v>M</c:v>
                </c:pt>
              </c:strCache>
            </c:strRef>
          </c:tx>
          <c:spPr>
            <a:ln w="28575" cap="rnd">
              <a:solidFill>
                <a:srgbClr val="878787"/>
              </a:solidFill>
              <a:round/>
            </a:ln>
            <a:effectLst/>
          </c:spPr>
          <c:marker>
            <c:symbol val="none"/>
          </c:marker>
          <c:cat>
            <c:numRef>
              <c:f>Rentabilidad!$AO$5:$AO$40</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Rentabilidad!$AS$5:$AS$40</c:f>
              <c:numCache>
                <c:formatCode>#,##0.00</c:formatCode>
                <c:ptCount val="36"/>
                <c:pt idx="0">
                  <c:v>100</c:v>
                </c:pt>
                <c:pt idx="1">
                  <c:v>101.73321318078523</c:v>
                </c:pt>
                <c:pt idx="2">
                  <c:v>102.10438062502139</c:v>
                </c:pt>
                <c:pt idx="3">
                  <c:v>89.983001263519768</c:v>
                </c:pt>
                <c:pt idx="4">
                  <c:v>94.186420166103744</c:v>
                </c:pt>
                <c:pt idx="5">
                  <c:v>98.436687216643222</c:v>
                </c:pt>
                <c:pt idx="6">
                  <c:v>101.29763057905031</c:v>
                </c:pt>
                <c:pt idx="7">
                  <c:v>104.1095882354203</c:v>
                </c:pt>
                <c:pt idx="8">
                  <c:v>105.04975753165246</c:v>
                </c:pt>
                <c:pt idx="9">
                  <c:v>104.92257282579611</c:v>
                </c:pt>
                <c:pt idx="10">
                  <c:v>105.64506745738338</c:v>
                </c:pt>
                <c:pt idx="11">
                  <c:v>108.5286333094876</c:v>
                </c:pt>
                <c:pt idx="12">
                  <c:v>110.21757138872694</c:v>
                </c:pt>
                <c:pt idx="13">
                  <c:v>109.46007424355314</c:v>
                </c:pt>
                <c:pt idx="14">
                  <c:v>108.60282438790379</c:v>
                </c:pt>
                <c:pt idx="15">
                  <c:v>107.16353527961357</c:v>
                </c:pt>
                <c:pt idx="16">
                  <c:v>107.59193754513805</c:v>
                </c:pt>
                <c:pt idx="17">
                  <c:v>107.61170995739303</c:v>
                </c:pt>
                <c:pt idx="18">
                  <c:v>108.4297712482127</c:v>
                </c:pt>
                <c:pt idx="19">
                  <c:v>109.15404717820131</c:v>
                </c:pt>
                <c:pt idx="20">
                  <c:v>109.89925336440579</c:v>
                </c:pt>
                <c:pt idx="21">
                  <c:v>109.18806997766708</c:v>
                </c:pt>
                <c:pt idx="22">
                  <c:v>108.21316536260862</c:v>
                </c:pt>
                <c:pt idx="23">
                  <c:v>107.38085368457817</c:v>
                </c:pt>
                <c:pt idx="24">
                  <c:v>108.38363561961775</c:v>
                </c:pt>
                <c:pt idx="25">
                  <c:v>106.28838337503065</c:v>
                </c:pt>
                <c:pt idx="26">
                  <c:v>103.41701941697566</c:v>
                </c:pt>
                <c:pt idx="27">
                  <c:v>102.32428191266794</c:v>
                </c:pt>
                <c:pt idx="28">
                  <c:v>98.557548313174749</c:v>
                </c:pt>
                <c:pt idx="29">
                  <c:v>98.097260806266092</c:v>
                </c:pt>
                <c:pt idx="30">
                  <c:v>94.798028972207007</c:v>
                </c:pt>
                <c:pt idx="31">
                  <c:v>95.55080567661723</c:v>
                </c:pt>
                <c:pt idx="32">
                  <c:v>96.123849372331293</c:v>
                </c:pt>
                <c:pt idx="33">
                  <c:v>90.727227735603492</c:v>
                </c:pt>
                <c:pt idx="34">
                  <c:v>90.267652748055369</c:v>
                </c:pt>
                <c:pt idx="35">
                  <c:v>94.757237238816117</c:v>
                </c:pt>
              </c:numCache>
            </c:numRef>
          </c:val>
          <c:smooth val="0"/>
          <c:extLst>
            <c:ext xmlns:c16="http://schemas.microsoft.com/office/drawing/2014/chart" uri="{C3380CC4-5D6E-409C-BE32-E72D297353CC}">
              <c16:uniqueId val="{00000001-7B7A-4C53-8BE3-5A6EC6C663F4}"/>
            </c:ext>
          </c:extLst>
        </c:ser>
        <c:dLbls>
          <c:showLegendKey val="0"/>
          <c:showVal val="0"/>
          <c:showCatName val="0"/>
          <c:showSerName val="0"/>
          <c:showPercent val="0"/>
          <c:showBubbleSize val="0"/>
        </c:dLbls>
        <c:marker val="1"/>
        <c:smooth val="0"/>
        <c:axId val="591759616"/>
        <c:axId val="591978496"/>
      </c:lineChart>
      <c:lineChart>
        <c:grouping val="standard"/>
        <c:varyColors val="0"/>
        <c:ser>
          <c:idx val="3"/>
          <c:order val="2"/>
          <c:tx>
            <c:strRef>
              <c:f>Rentabilidad!$AT$4</c:f>
              <c:strCache>
                <c:ptCount val="1"/>
                <c:pt idx="0">
                  <c:v>P</c:v>
                </c:pt>
              </c:strCache>
            </c:strRef>
          </c:tx>
          <c:spPr>
            <a:ln w="28575" cap="rnd">
              <a:solidFill>
                <a:schemeClr val="accent4"/>
              </a:solidFill>
              <a:round/>
            </a:ln>
            <a:effectLst/>
          </c:spPr>
          <c:marker>
            <c:symbol val="none"/>
          </c:marker>
          <c:cat>
            <c:numRef>
              <c:f>Rentabilidad!$AO$5:$AO$40</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Rentabilidad!$AT$5:$AT$40</c:f>
              <c:numCache>
                <c:formatCode>#,##0.00</c:formatCode>
                <c:ptCount val="3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numCache>
            </c:numRef>
          </c:val>
          <c:smooth val="0"/>
          <c:extLst>
            <c:ext xmlns:c16="http://schemas.microsoft.com/office/drawing/2014/chart" uri="{C3380CC4-5D6E-409C-BE32-E72D297353CC}">
              <c16:uniqueId val="{00000002-7B7A-4C53-8BE3-5A6EC6C663F4}"/>
            </c:ext>
          </c:extLst>
        </c:ser>
        <c:ser>
          <c:idx val="4"/>
          <c:order val="3"/>
          <c:tx>
            <c:strRef>
              <c:f>Rentabilidad!$AU$4</c:f>
              <c:strCache>
                <c:ptCount val="1"/>
                <c:pt idx="0">
                  <c:v>BCH</c:v>
                </c:pt>
              </c:strCache>
            </c:strRef>
          </c:tx>
          <c:spPr>
            <a:ln w="28575" cap="rnd">
              <a:solidFill>
                <a:srgbClr val="46AC46"/>
              </a:solidFill>
              <a:round/>
            </a:ln>
            <a:effectLst/>
          </c:spPr>
          <c:marker>
            <c:symbol val="none"/>
          </c:marker>
          <c:cat>
            <c:numRef>
              <c:f>Rentabilidad!$AO$5:$AO$40</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Rentabilidad!$AU$5:$AU$40</c:f>
              <c:numCache>
                <c:formatCode>#,##0.00</c:formatCode>
                <c:ptCount val="3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numCache>
            </c:numRef>
          </c:val>
          <c:smooth val="0"/>
          <c:extLst>
            <c:ext xmlns:c16="http://schemas.microsoft.com/office/drawing/2014/chart" uri="{C3380CC4-5D6E-409C-BE32-E72D297353CC}">
              <c16:uniqueId val="{00000003-7B7A-4C53-8BE3-5A6EC6C663F4}"/>
            </c:ext>
          </c:extLst>
        </c:ser>
        <c:ser>
          <c:idx val="0"/>
          <c:order val="4"/>
          <c:tx>
            <c:strRef>
              <c:f>Rentabilidad!$AP$4</c:f>
              <c:strCache>
                <c:ptCount val="1"/>
                <c:pt idx="0">
                  <c:v>TIP</c:v>
                </c:pt>
              </c:strCache>
            </c:strRef>
          </c:tx>
          <c:spPr>
            <a:ln w="28575" cap="rnd">
              <a:solidFill>
                <a:schemeClr val="accent1"/>
              </a:solidFill>
              <a:prstDash val="dash"/>
              <a:round/>
            </a:ln>
            <a:effectLst/>
          </c:spPr>
          <c:marker>
            <c:symbol val="none"/>
          </c:marker>
          <c:cat>
            <c:numRef>
              <c:f>Rentabilidad!$AO$5:$AO$40</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Rentabilidad!$AP$5:$AP$40</c:f>
              <c:numCache>
                <c:formatCode>#,##0.00</c:formatCode>
                <c:ptCount val="36"/>
                <c:pt idx="0">
                  <c:v>100</c:v>
                </c:pt>
                <c:pt idx="1">
                  <c:v>100.26364327582907</c:v>
                </c:pt>
                <c:pt idx="2">
                  <c:v>100.52798162942703</c:v>
                </c:pt>
                <c:pt idx="3">
                  <c:v>100.79301689331969</c:v>
                </c:pt>
                <c:pt idx="4">
                  <c:v>101.05875090486417</c:v>
                </c:pt>
                <c:pt idx="5">
                  <c:v>101.32518550626169</c:v>
                </c:pt>
                <c:pt idx="6">
                  <c:v>101.59232254457027</c:v>
                </c:pt>
                <c:pt idx="7">
                  <c:v>101.8601638717176</c:v>
                </c:pt>
                <c:pt idx="8">
                  <c:v>102.12871134451385</c:v>
                </c:pt>
                <c:pt idx="9">
                  <c:v>102.39796682466454</c:v>
                </c:pt>
                <c:pt idx="10">
                  <c:v>102.66793217878343</c:v>
                </c:pt>
                <c:pt idx="11">
                  <c:v>102.93860927840554</c:v>
                </c:pt>
                <c:pt idx="12">
                  <c:v>103.21000000000001</c:v>
                </c:pt>
                <c:pt idx="13">
                  <c:v>103.48210622498318</c:v>
                </c:pt>
                <c:pt idx="14">
                  <c:v>103.75492983973164</c:v>
                </c:pt>
                <c:pt idx="15">
                  <c:v>103.95765305825965</c:v>
                </c:pt>
                <c:pt idx="16">
                  <c:v>104.16077237076983</c:v>
                </c:pt>
                <c:pt idx="17">
                  <c:v>104.36428855117671</c:v>
                </c:pt>
                <c:pt idx="18">
                  <c:v>104.56820237490693</c:v>
                </c:pt>
                <c:pt idx="19">
                  <c:v>104.77251461890222</c:v>
                </c:pt>
                <c:pt idx="20">
                  <c:v>104.99088919210121</c:v>
                </c:pt>
                <c:pt idx="21">
                  <c:v>105.12209711672152</c:v>
                </c:pt>
                <c:pt idx="22">
                  <c:v>105.35403444097948</c:v>
                </c:pt>
                <c:pt idx="23">
                  <c:v>105.58648350276796</c:v>
                </c:pt>
                <c:pt idx="24">
                  <c:v>105.58736334980489</c:v>
                </c:pt>
                <c:pt idx="25">
                  <c:v>105.58824320417355</c:v>
                </c:pt>
                <c:pt idx="26">
                  <c:v>105.58912306587399</c:v>
                </c:pt>
                <c:pt idx="27">
                  <c:v>105.59088272329565</c:v>
                </c:pt>
                <c:pt idx="28">
                  <c:v>105.59264241004225</c:v>
                </c:pt>
                <c:pt idx="29">
                  <c:v>105.82218186314377</c:v>
                </c:pt>
                <c:pt idx="30">
                  <c:v>106.05222029381918</c:v>
                </c:pt>
                <c:pt idx="31">
                  <c:v>106.28275878675616</c:v>
                </c:pt>
                <c:pt idx="32">
                  <c:v>106.51379842900033</c:v>
                </c:pt>
                <c:pt idx="33">
                  <c:v>106.74534030996034</c:v>
                </c:pt>
                <c:pt idx="34">
                  <c:v>106.97738552141301</c:v>
                </c:pt>
                <c:pt idx="35">
                  <c:v>107.2099351575085</c:v>
                </c:pt>
              </c:numCache>
            </c:numRef>
          </c:val>
          <c:smooth val="0"/>
          <c:extLst>
            <c:ext xmlns:c16="http://schemas.microsoft.com/office/drawing/2014/chart" uri="{C3380CC4-5D6E-409C-BE32-E72D297353CC}">
              <c16:uniqueId val="{00000004-7B7A-4C53-8BE3-5A6EC6C663F4}"/>
            </c:ext>
          </c:extLst>
        </c:ser>
        <c:ser>
          <c:idx val="1"/>
          <c:order val="5"/>
          <c:tx>
            <c:strRef>
              <c:f>Rentabilidad!$AQ$4</c:f>
              <c:strCache>
                <c:ptCount val="1"/>
                <c:pt idx="0">
                  <c:v>FM Tipo</c:v>
                </c:pt>
              </c:strCache>
            </c:strRef>
          </c:tx>
          <c:spPr>
            <a:ln w="28575" cap="rnd">
              <a:solidFill>
                <a:srgbClr val="AE1619"/>
              </a:solidFill>
              <a:prstDash val="lgDash"/>
              <a:round/>
            </a:ln>
            <a:effectLst/>
          </c:spPr>
          <c:marker>
            <c:symbol val="none"/>
          </c:marker>
          <c:cat>
            <c:numRef>
              <c:f>Rentabilidad!$AO$5:$AO$40</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Rentabilidad!$AQ$5:$AQ$40</c:f>
              <c:numCache>
                <c:formatCode>#,##0.00</c:formatCode>
                <c:ptCount val="36"/>
                <c:pt idx="0">
                  <c:v>100</c:v>
                </c:pt>
                <c:pt idx="1">
                  <c:v>101.90035268516186</c:v>
                </c:pt>
                <c:pt idx="2">
                  <c:v>102.0075049134051</c:v>
                </c:pt>
                <c:pt idx="3">
                  <c:v>88.518916238168501</c:v>
                </c:pt>
                <c:pt idx="4">
                  <c:v>92.084898841667894</c:v>
                </c:pt>
                <c:pt idx="5">
                  <c:v>96.132753198410455</c:v>
                </c:pt>
                <c:pt idx="6">
                  <c:v>98.391154449183873</c:v>
                </c:pt>
                <c:pt idx="7">
                  <c:v>100.78532756254252</c:v>
                </c:pt>
                <c:pt idx="8">
                  <c:v>101.46822020646268</c:v>
                </c:pt>
                <c:pt idx="9">
                  <c:v>101.2916115452893</c:v>
                </c:pt>
                <c:pt idx="10">
                  <c:v>101.91243459146995</c:v>
                </c:pt>
                <c:pt idx="11">
                  <c:v>103.89472705793956</c:v>
                </c:pt>
                <c:pt idx="12">
                  <c:v>105.13034244653366</c:v>
                </c:pt>
                <c:pt idx="13">
                  <c:v>104.64316868583251</c:v>
                </c:pt>
                <c:pt idx="14">
                  <c:v>104.1463865794357</c:v>
                </c:pt>
                <c:pt idx="15">
                  <c:v>103.43084024229773</c:v>
                </c:pt>
                <c:pt idx="16">
                  <c:v>103.64914701920831</c:v>
                </c:pt>
                <c:pt idx="17">
                  <c:v>103.86195106456115</c:v>
                </c:pt>
                <c:pt idx="18">
                  <c:v>104.22453912335848</c:v>
                </c:pt>
                <c:pt idx="19">
                  <c:v>104.46492288390579</c:v>
                </c:pt>
                <c:pt idx="20">
                  <c:v>104.92764098242449</c:v>
                </c:pt>
                <c:pt idx="21">
                  <c:v>104.56069694146463</c:v>
                </c:pt>
                <c:pt idx="22">
                  <c:v>104.21377252738897</c:v>
                </c:pt>
                <c:pt idx="23">
                  <c:v>103.80193326210819</c:v>
                </c:pt>
                <c:pt idx="24">
                  <c:v>104.13371770848504</c:v>
                </c:pt>
                <c:pt idx="25">
                  <c:v>103.00467673983853</c:v>
                </c:pt>
                <c:pt idx="26">
                  <c:v>101.51978317554286</c:v>
                </c:pt>
                <c:pt idx="27">
                  <c:v>100.98491512362638</c:v>
                </c:pt>
                <c:pt idx="28">
                  <c:v>99.0951774568491</c:v>
                </c:pt>
                <c:pt idx="29">
                  <c:v>98.914061749496639</c:v>
                </c:pt>
                <c:pt idx="30">
                  <c:v>95.318697750587845</c:v>
                </c:pt>
                <c:pt idx="31">
                  <c:v>95.959612498628431</c:v>
                </c:pt>
                <c:pt idx="32">
                  <c:v>95.912496620369424</c:v>
                </c:pt>
                <c:pt idx="33">
                  <c:v>93.525048010759093</c:v>
                </c:pt>
                <c:pt idx="34">
                  <c:v>93.354200759821666</c:v>
                </c:pt>
                <c:pt idx="35">
                  <c:v>94.857250857566498</c:v>
                </c:pt>
              </c:numCache>
            </c:numRef>
          </c:val>
          <c:smooth val="0"/>
          <c:extLst>
            <c:ext xmlns:c16="http://schemas.microsoft.com/office/drawing/2014/chart" uri="{C3380CC4-5D6E-409C-BE32-E72D297353CC}">
              <c16:uniqueId val="{00000005-7B7A-4C53-8BE3-5A6EC6C663F4}"/>
            </c:ext>
          </c:extLst>
        </c:ser>
        <c:dLbls>
          <c:showLegendKey val="0"/>
          <c:showVal val="0"/>
          <c:showCatName val="0"/>
          <c:showSerName val="0"/>
          <c:showPercent val="0"/>
          <c:showBubbleSize val="0"/>
        </c:dLbls>
        <c:marker val="1"/>
        <c:smooth val="0"/>
        <c:axId val="592117760"/>
        <c:axId val="591980800"/>
      </c:lineChart>
      <c:dateAx>
        <c:axId val="591759616"/>
        <c:scaling>
          <c:orientation val="minMax"/>
        </c:scaling>
        <c:delete val="0"/>
        <c:axPos val="b"/>
        <c:numFmt formatCode="[$-C0A]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crossAx val="591978496"/>
        <c:crosses val="autoZero"/>
        <c:auto val="1"/>
        <c:lblOffset val="100"/>
        <c:baseTimeUnit val="months"/>
      </c:dateAx>
      <c:valAx>
        <c:axId val="591978496"/>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crossAx val="591759616"/>
        <c:crosses val="autoZero"/>
        <c:crossBetween val="between"/>
      </c:valAx>
      <c:valAx>
        <c:axId val="591980800"/>
        <c:scaling>
          <c:orientation val="minMax"/>
          <c:max val="112"/>
          <c:min val="98"/>
        </c:scaling>
        <c:delete val="1"/>
        <c:axPos val="r"/>
        <c:numFmt formatCode="#,##0.00" sourceLinked="1"/>
        <c:majorTickMark val="out"/>
        <c:minorTickMark val="none"/>
        <c:tickLblPos val="nextTo"/>
        <c:crossAx val="592117760"/>
        <c:crosses val="max"/>
        <c:crossBetween val="between"/>
      </c:valAx>
      <c:dateAx>
        <c:axId val="592117760"/>
        <c:scaling>
          <c:orientation val="minMax"/>
        </c:scaling>
        <c:delete val="1"/>
        <c:axPos val="b"/>
        <c:numFmt formatCode="m/d/yyyy" sourceLinked="1"/>
        <c:majorTickMark val="out"/>
        <c:minorTickMark val="none"/>
        <c:tickLblPos val="nextTo"/>
        <c:crossAx val="59198080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rgbClr val="333D6B"/>
          </a:solidFill>
          <a:latin typeface="Myriad Pro" panose="020B0503030403020204" pitchFamily="34" charset="0"/>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DisCartera!$M$2</c:f>
              <c:strCache>
                <c:ptCount val="1"/>
                <c:pt idx="0">
                  <c:v>AAA</c:v>
                </c:pt>
              </c:strCache>
            </c:strRef>
          </c:tx>
          <c:spPr>
            <a:solidFill>
              <a:schemeClr val="accent1"/>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DisCartera!$M$3:$M$62</c:f>
              <c:numCache>
                <c:formatCode>0.00%</c:formatCode>
                <c:ptCount val="60"/>
                <c:pt idx="0">
                  <c:v>0</c:v>
                </c:pt>
                <c:pt idx="1">
                  <c:v>1.9479999999999997E-2</c:v>
                </c:pt>
                <c:pt idx="2">
                  <c:v>2.8699999999999997E-3</c:v>
                </c:pt>
                <c:pt idx="3">
                  <c:v>9.5199999999999989E-3</c:v>
                </c:pt>
                <c:pt idx="4">
                  <c:v>5.6999999999999998E-4</c:v>
                </c:pt>
                <c:pt idx="5">
                  <c:v>0</c:v>
                </c:pt>
                <c:pt idx="6">
                  <c:v>0</c:v>
                </c:pt>
                <c:pt idx="7">
                  <c:v>4.2500000000000003E-3</c:v>
                </c:pt>
                <c:pt idx="8">
                  <c:v>2.3E-3</c:v>
                </c:pt>
                <c:pt idx="9">
                  <c:v>0</c:v>
                </c:pt>
                <c:pt idx="10">
                  <c:v>1.5399999999999999E-3</c:v>
                </c:pt>
                <c:pt idx="11">
                  <c:v>0</c:v>
                </c:pt>
                <c:pt idx="12">
                  <c:v>7.0799999999999995E-3</c:v>
                </c:pt>
                <c:pt idx="13">
                  <c:v>1.1160000000000002E-2</c:v>
                </c:pt>
                <c:pt idx="14">
                  <c:v>2.5499999999999997E-3</c:v>
                </c:pt>
                <c:pt idx="15">
                  <c:v>2.5700000000000002E-3</c:v>
                </c:pt>
                <c:pt idx="16">
                  <c:v>1.039E-2</c:v>
                </c:pt>
                <c:pt idx="17">
                  <c:v>4.4400000000000004E-3</c:v>
                </c:pt>
                <c:pt idx="18">
                  <c:v>5.6500000000000005E-3</c:v>
                </c:pt>
                <c:pt idx="19">
                  <c:v>1.9599999999999999E-3</c:v>
                </c:pt>
                <c:pt idx="20">
                  <c:v>4.15E-3</c:v>
                </c:pt>
                <c:pt idx="21">
                  <c:v>0</c:v>
                </c:pt>
                <c:pt idx="22">
                  <c:v>1.374E-2</c:v>
                </c:pt>
                <c:pt idx="23">
                  <c:v>7.2900000000000013E-3</c:v>
                </c:pt>
                <c:pt idx="24">
                  <c:v>3.4000000000000002E-4</c:v>
                </c:pt>
                <c:pt idx="25">
                  <c:v>1.447E-2</c:v>
                </c:pt>
                <c:pt idx="26">
                  <c:v>1.061E-2</c:v>
                </c:pt>
                <c:pt idx="27">
                  <c:v>4.4999999999999999E-4</c:v>
                </c:pt>
                <c:pt idx="28">
                  <c:v>0</c:v>
                </c:pt>
                <c:pt idx="29">
                  <c:v>1.1000000000000001E-3</c:v>
                </c:pt>
                <c:pt idx="30">
                  <c:v>5.3899999999999998E-3</c:v>
                </c:pt>
                <c:pt idx="31">
                  <c:v>8.5000000000000006E-3</c:v>
                </c:pt>
                <c:pt idx="32">
                  <c:v>2.4999999999999996E-3</c:v>
                </c:pt>
                <c:pt idx="33">
                  <c:v>7.7000000000000007E-4</c:v>
                </c:pt>
                <c:pt idx="34">
                  <c:v>4.3699999999999998E-3</c:v>
                </c:pt>
                <c:pt idx="35">
                  <c:v>7.7800000000000005E-3</c:v>
                </c:pt>
                <c:pt idx="36">
                  <c:v>7.1999999999999998E-3</c:v>
                </c:pt>
                <c:pt idx="37">
                  <c:v>4.8000000000000007E-4</c:v>
                </c:pt>
                <c:pt idx="38">
                  <c:v>2.239E-2</c:v>
                </c:pt>
                <c:pt idx="39">
                  <c:v>4.0099999999999997E-3</c:v>
                </c:pt>
                <c:pt idx="40">
                  <c:v>1.338E-2</c:v>
                </c:pt>
                <c:pt idx="41">
                  <c:v>6.0099999999999997E-3</c:v>
                </c:pt>
                <c:pt idx="42">
                  <c:v>8.1300000000000001E-3</c:v>
                </c:pt>
                <c:pt idx="43">
                  <c:v>9.4500000000000001E-3</c:v>
                </c:pt>
                <c:pt idx="44">
                  <c:v>5.5800000000000008E-3</c:v>
                </c:pt>
                <c:pt idx="45">
                  <c:v>1.33E-3</c:v>
                </c:pt>
                <c:pt idx="46">
                  <c:v>2.9999999999999997E-4</c:v>
                </c:pt>
                <c:pt idx="47">
                  <c:v>3.4000000000000002E-4</c:v>
                </c:pt>
                <c:pt idx="48">
                  <c:v>1.47E-3</c:v>
                </c:pt>
                <c:pt idx="49">
                  <c:v>7.6800000000000002E-3</c:v>
                </c:pt>
                <c:pt idx="50">
                  <c:v>6.6999999999999994E-3</c:v>
                </c:pt>
                <c:pt idx="51">
                  <c:v>7.9299999999999995E-3</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0-F81F-4CE3-B962-37C32542A20A}"/>
            </c:ext>
          </c:extLst>
        </c:ser>
        <c:ser>
          <c:idx val="1"/>
          <c:order val="1"/>
          <c:tx>
            <c:strRef>
              <c:f>DisCartera!$N$2</c:f>
              <c:strCache>
                <c:ptCount val="1"/>
                <c:pt idx="0">
                  <c:v>AA+</c:v>
                </c:pt>
              </c:strCache>
            </c:strRef>
          </c:tx>
          <c:spPr>
            <a:solidFill>
              <a:srgbClr val="46AC46"/>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DisCartera!$N$3:$N$62</c:f>
              <c:numCache>
                <c:formatCode>0.00%</c:formatCode>
                <c:ptCount val="60"/>
                <c:pt idx="0">
                  <c:v>2.844E-2</c:v>
                </c:pt>
                <c:pt idx="1">
                  <c:v>3.227E-2</c:v>
                </c:pt>
                <c:pt idx="2">
                  <c:v>3.3030000000000004E-2</c:v>
                </c:pt>
                <c:pt idx="3">
                  <c:v>3.3299999999999996E-2</c:v>
                </c:pt>
                <c:pt idx="4">
                  <c:v>4.2520000000000002E-2</c:v>
                </c:pt>
                <c:pt idx="5">
                  <c:v>3.1990000000000005E-2</c:v>
                </c:pt>
                <c:pt idx="6">
                  <c:v>3.4290000000000001E-2</c:v>
                </c:pt>
                <c:pt idx="7">
                  <c:v>3.2969999999999999E-2</c:v>
                </c:pt>
                <c:pt idx="8">
                  <c:v>3.7329999999999995E-2</c:v>
                </c:pt>
                <c:pt idx="9">
                  <c:v>4.4880000000000003E-2</c:v>
                </c:pt>
                <c:pt idx="10">
                  <c:v>4.2510000000000006E-2</c:v>
                </c:pt>
                <c:pt idx="11">
                  <c:v>4.1489999999999999E-2</c:v>
                </c:pt>
                <c:pt idx="12">
                  <c:v>4.1389999999999996E-2</c:v>
                </c:pt>
                <c:pt idx="13">
                  <c:v>4.2059999999999993E-2</c:v>
                </c:pt>
                <c:pt idx="14">
                  <c:v>4.2280000000000005E-2</c:v>
                </c:pt>
                <c:pt idx="15">
                  <c:v>4.1409999999999995E-2</c:v>
                </c:pt>
                <c:pt idx="16">
                  <c:v>4.07E-2</c:v>
                </c:pt>
                <c:pt idx="17">
                  <c:v>4.2099999999999999E-2</c:v>
                </c:pt>
                <c:pt idx="18">
                  <c:v>5.0010000000000006E-2</c:v>
                </c:pt>
                <c:pt idx="19">
                  <c:v>5.1929999999999997E-2</c:v>
                </c:pt>
                <c:pt idx="20">
                  <c:v>6.2310000000000004E-2</c:v>
                </c:pt>
                <c:pt idx="21">
                  <c:v>6.0449999999999997E-2</c:v>
                </c:pt>
                <c:pt idx="22">
                  <c:v>6.0999999999999992E-2</c:v>
                </c:pt>
                <c:pt idx="23">
                  <c:v>6.148E-2</c:v>
                </c:pt>
                <c:pt idx="24">
                  <c:v>6.3340000000000007E-2</c:v>
                </c:pt>
                <c:pt idx="25">
                  <c:v>7.1739999999999998E-2</c:v>
                </c:pt>
                <c:pt idx="26">
                  <c:v>8.0140000000000003E-2</c:v>
                </c:pt>
                <c:pt idx="27">
                  <c:v>9.3579999999999997E-2</c:v>
                </c:pt>
                <c:pt idx="28">
                  <c:v>2.4919999999999998E-2</c:v>
                </c:pt>
                <c:pt idx="29">
                  <c:v>2.3890000000000002E-2</c:v>
                </c:pt>
                <c:pt idx="30">
                  <c:v>2.3210000000000001E-2</c:v>
                </c:pt>
                <c:pt idx="31">
                  <c:v>2.274E-2</c:v>
                </c:pt>
                <c:pt idx="32">
                  <c:v>2.112E-2</c:v>
                </c:pt>
                <c:pt idx="33">
                  <c:v>2.0560000000000002E-2</c:v>
                </c:pt>
                <c:pt idx="34">
                  <c:v>2.0080000000000001E-2</c:v>
                </c:pt>
                <c:pt idx="35">
                  <c:v>1.8360000000000001E-2</c:v>
                </c:pt>
                <c:pt idx="36">
                  <c:v>1.6140000000000002E-2</c:v>
                </c:pt>
                <c:pt idx="37">
                  <c:v>1.576E-2</c:v>
                </c:pt>
                <c:pt idx="38">
                  <c:v>1.635E-2</c:v>
                </c:pt>
                <c:pt idx="39">
                  <c:v>1.9009999999999999E-2</c:v>
                </c:pt>
                <c:pt idx="40">
                  <c:v>1.9569999999999997E-2</c:v>
                </c:pt>
                <c:pt idx="41">
                  <c:v>1.9570000000000001E-2</c:v>
                </c:pt>
                <c:pt idx="42">
                  <c:v>1.9810000000000001E-2</c:v>
                </c:pt>
                <c:pt idx="43">
                  <c:v>2.009E-2</c:v>
                </c:pt>
                <c:pt idx="44">
                  <c:v>1.6140000000000002E-2</c:v>
                </c:pt>
                <c:pt idx="45">
                  <c:v>1.6539999999999999E-2</c:v>
                </c:pt>
                <c:pt idx="46">
                  <c:v>1.7220000000000003E-2</c:v>
                </c:pt>
                <c:pt idx="47">
                  <c:v>1.916E-2</c:v>
                </c:pt>
                <c:pt idx="48">
                  <c:v>1.4410000000000001E-2</c:v>
                </c:pt>
                <c:pt idx="49">
                  <c:v>1.506E-2</c:v>
                </c:pt>
                <c:pt idx="50">
                  <c:v>1.6120000000000002E-2</c:v>
                </c:pt>
                <c:pt idx="51">
                  <c:v>1.6369999999999999E-2</c:v>
                </c:pt>
                <c:pt idx="52">
                  <c:v>8.6E-3</c:v>
                </c:pt>
                <c:pt idx="53">
                  <c:v>9.2200000000000008E-3</c:v>
                </c:pt>
                <c:pt idx="54">
                  <c:v>0</c:v>
                </c:pt>
                <c:pt idx="55">
                  <c:v>0</c:v>
                </c:pt>
                <c:pt idx="56">
                  <c:v>0</c:v>
                </c:pt>
                <c:pt idx="57">
                  <c:v>0</c:v>
                </c:pt>
                <c:pt idx="58">
                  <c:v>0</c:v>
                </c:pt>
                <c:pt idx="59">
                  <c:v>0</c:v>
                </c:pt>
              </c:numCache>
            </c:numRef>
          </c:val>
          <c:extLst>
            <c:ext xmlns:c16="http://schemas.microsoft.com/office/drawing/2014/chart" uri="{C3380CC4-5D6E-409C-BE32-E72D297353CC}">
              <c16:uniqueId val="{00000001-F81F-4CE3-B962-37C32542A20A}"/>
            </c:ext>
          </c:extLst>
        </c:ser>
        <c:ser>
          <c:idx val="2"/>
          <c:order val="2"/>
          <c:tx>
            <c:strRef>
              <c:f>DisCartera!$O$2</c:f>
              <c:strCache>
                <c:ptCount val="1"/>
                <c:pt idx="0">
                  <c:v>AA</c:v>
                </c:pt>
              </c:strCache>
            </c:strRef>
          </c:tx>
          <c:spPr>
            <a:solidFill>
              <a:srgbClr val="F8DC3B"/>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DisCartera!$O$3:$O$62</c:f>
              <c:numCache>
                <c:formatCode>0.00%</c:formatCode>
                <c:ptCount val="60"/>
                <c:pt idx="0">
                  <c:v>1.24E-3</c:v>
                </c:pt>
                <c:pt idx="1">
                  <c:v>0</c:v>
                </c:pt>
                <c:pt idx="2">
                  <c:v>0</c:v>
                </c:pt>
                <c:pt idx="3">
                  <c:v>6.0000000000000002E-5</c:v>
                </c:pt>
                <c:pt idx="4">
                  <c:v>0</c:v>
                </c:pt>
                <c:pt idx="5">
                  <c:v>0</c:v>
                </c:pt>
                <c:pt idx="6">
                  <c:v>5.3300000000000005E-3</c:v>
                </c:pt>
                <c:pt idx="7">
                  <c:v>0</c:v>
                </c:pt>
                <c:pt idx="8">
                  <c:v>0</c:v>
                </c:pt>
                <c:pt idx="9">
                  <c:v>2.2770000000000002E-2</c:v>
                </c:pt>
                <c:pt idx="10">
                  <c:v>1.6900000000000001E-3</c:v>
                </c:pt>
                <c:pt idx="11">
                  <c:v>1.2119999999999999E-2</c:v>
                </c:pt>
                <c:pt idx="12">
                  <c:v>1.609E-2</c:v>
                </c:pt>
                <c:pt idx="13">
                  <c:v>0</c:v>
                </c:pt>
                <c:pt idx="14">
                  <c:v>3.6999999999999999E-4</c:v>
                </c:pt>
                <c:pt idx="15">
                  <c:v>0</c:v>
                </c:pt>
                <c:pt idx="16">
                  <c:v>0</c:v>
                </c:pt>
                <c:pt idx="17">
                  <c:v>7.2999999999999996E-4</c:v>
                </c:pt>
                <c:pt idx="18">
                  <c:v>1.422E-2</c:v>
                </c:pt>
                <c:pt idx="19">
                  <c:v>6.1799999999999997E-3</c:v>
                </c:pt>
                <c:pt idx="20">
                  <c:v>1.0259999999999998E-2</c:v>
                </c:pt>
                <c:pt idx="21">
                  <c:v>2.051E-2</c:v>
                </c:pt>
                <c:pt idx="22">
                  <c:v>1.021E-2</c:v>
                </c:pt>
                <c:pt idx="23">
                  <c:v>1.022E-2</c:v>
                </c:pt>
                <c:pt idx="24">
                  <c:v>1.3180000000000001E-2</c:v>
                </c:pt>
                <c:pt idx="25">
                  <c:v>1.15E-2</c:v>
                </c:pt>
                <c:pt idx="26">
                  <c:v>1.3419999999999998E-2</c:v>
                </c:pt>
                <c:pt idx="27">
                  <c:v>1.5470000000000001E-2</c:v>
                </c:pt>
                <c:pt idx="28">
                  <c:v>1.6299999999999999E-2</c:v>
                </c:pt>
                <c:pt idx="29">
                  <c:v>1.5369999999999998E-2</c:v>
                </c:pt>
                <c:pt idx="30">
                  <c:v>1.5510000000000001E-2</c:v>
                </c:pt>
                <c:pt idx="31">
                  <c:v>7.9600000000000001E-3</c:v>
                </c:pt>
                <c:pt idx="32">
                  <c:v>1.366E-2</c:v>
                </c:pt>
                <c:pt idx="33">
                  <c:v>6.94E-3</c:v>
                </c:pt>
                <c:pt idx="34">
                  <c:v>6.8199999999999997E-3</c:v>
                </c:pt>
                <c:pt idx="35">
                  <c:v>6.2299999999999994E-3</c:v>
                </c:pt>
                <c:pt idx="36">
                  <c:v>9.1699999999999993E-3</c:v>
                </c:pt>
                <c:pt idx="37">
                  <c:v>5.5799999999999999E-3</c:v>
                </c:pt>
                <c:pt idx="38">
                  <c:v>0</c:v>
                </c:pt>
                <c:pt idx="39">
                  <c:v>0</c:v>
                </c:pt>
                <c:pt idx="40">
                  <c:v>0</c:v>
                </c:pt>
                <c:pt idx="41">
                  <c:v>0</c:v>
                </c:pt>
                <c:pt idx="42">
                  <c:v>0</c:v>
                </c:pt>
                <c:pt idx="43">
                  <c:v>0</c:v>
                </c:pt>
                <c:pt idx="44">
                  <c:v>1.0129999999999998E-2</c:v>
                </c:pt>
                <c:pt idx="45">
                  <c:v>1.7070000000000002E-2</c:v>
                </c:pt>
                <c:pt idx="46">
                  <c:v>1.2900000000000002E-2</c:v>
                </c:pt>
                <c:pt idx="47">
                  <c:v>2.4900000000000002E-2</c:v>
                </c:pt>
                <c:pt idx="48">
                  <c:v>1.24E-2</c:v>
                </c:pt>
                <c:pt idx="49">
                  <c:v>1.29E-2</c:v>
                </c:pt>
                <c:pt idx="50">
                  <c:v>1.3779999999999999E-2</c:v>
                </c:pt>
                <c:pt idx="51">
                  <c:v>1.379E-2</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2-F81F-4CE3-B962-37C32542A20A}"/>
            </c:ext>
          </c:extLst>
        </c:ser>
        <c:ser>
          <c:idx val="3"/>
          <c:order val="3"/>
          <c:tx>
            <c:strRef>
              <c:f>DisCartera!$P$2</c:f>
              <c:strCache>
                <c:ptCount val="1"/>
                <c:pt idx="0">
                  <c:v>AA-</c:v>
                </c:pt>
              </c:strCache>
            </c:strRef>
          </c:tx>
          <c:spPr>
            <a:solidFill>
              <a:srgbClr val="333D6B"/>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DisCartera!$P$3:$P$62</c:f>
              <c:numCache>
                <c:formatCode>0.00%</c:formatCode>
                <c:ptCount val="60"/>
                <c:pt idx="0">
                  <c:v>3.81E-3</c:v>
                </c:pt>
                <c:pt idx="1">
                  <c:v>0</c:v>
                </c:pt>
                <c:pt idx="2">
                  <c:v>0</c:v>
                </c:pt>
                <c:pt idx="3">
                  <c:v>0</c:v>
                </c:pt>
                <c:pt idx="4">
                  <c:v>0</c:v>
                </c:pt>
                <c:pt idx="5">
                  <c:v>0</c:v>
                </c:pt>
                <c:pt idx="6">
                  <c:v>0</c:v>
                </c:pt>
                <c:pt idx="7">
                  <c:v>0</c:v>
                </c:pt>
                <c:pt idx="8">
                  <c:v>0</c:v>
                </c:pt>
                <c:pt idx="9">
                  <c:v>0</c:v>
                </c:pt>
                <c:pt idx="10">
                  <c:v>0</c:v>
                </c:pt>
                <c:pt idx="11">
                  <c:v>0</c:v>
                </c:pt>
                <c:pt idx="12">
                  <c:v>0</c:v>
                </c:pt>
                <c:pt idx="13">
                  <c:v>3.6800000000000001E-3</c:v>
                </c:pt>
                <c:pt idx="14">
                  <c:v>0</c:v>
                </c:pt>
                <c:pt idx="15">
                  <c:v>0</c:v>
                </c:pt>
                <c:pt idx="16">
                  <c:v>0</c:v>
                </c:pt>
                <c:pt idx="17">
                  <c:v>0</c:v>
                </c:pt>
                <c:pt idx="18">
                  <c:v>0</c:v>
                </c:pt>
                <c:pt idx="19">
                  <c:v>0</c:v>
                </c:pt>
                <c:pt idx="20">
                  <c:v>1.5200000000000001E-3</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3-F81F-4CE3-B962-37C32542A20A}"/>
            </c:ext>
          </c:extLst>
        </c:ser>
        <c:ser>
          <c:idx val="4"/>
          <c:order val="4"/>
          <c:tx>
            <c:strRef>
              <c:f>DisCartera!$Q$2</c:f>
              <c:strCache>
                <c:ptCount val="1"/>
                <c:pt idx="0">
                  <c:v>A+</c:v>
                </c:pt>
              </c:strCache>
            </c:strRef>
          </c:tx>
          <c:spPr>
            <a:solidFill>
              <a:schemeClr val="accent5"/>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DisCartera!$Q$3:$Q$62</c:f>
              <c:numCache>
                <c:formatCode>0.00%</c:formatCode>
                <c:ptCount val="60"/>
                <c:pt idx="0">
                  <c:v>0</c:v>
                </c:pt>
                <c:pt idx="1">
                  <c:v>0</c:v>
                </c:pt>
                <c:pt idx="2">
                  <c:v>0</c:v>
                </c:pt>
                <c:pt idx="3">
                  <c:v>0</c:v>
                </c:pt>
                <c:pt idx="4">
                  <c:v>0</c:v>
                </c:pt>
                <c:pt idx="5">
                  <c:v>0</c:v>
                </c:pt>
                <c:pt idx="6">
                  <c:v>0</c:v>
                </c:pt>
                <c:pt idx="7">
                  <c:v>0</c:v>
                </c:pt>
                <c:pt idx="8">
                  <c:v>9.2599999999999991E-3</c:v>
                </c:pt>
                <c:pt idx="9">
                  <c:v>8.9900000000000015E-3</c:v>
                </c:pt>
                <c:pt idx="10">
                  <c:v>9.6900000000000007E-3</c:v>
                </c:pt>
                <c:pt idx="11">
                  <c:v>9.3999999999999986E-3</c:v>
                </c:pt>
                <c:pt idx="12">
                  <c:v>3.7899999999999995E-3</c:v>
                </c:pt>
                <c:pt idx="13">
                  <c:v>3.8199999999999996E-3</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1.2719999999999999E-2</c:v>
                </c:pt>
                <c:pt idx="32">
                  <c:v>1.201E-2</c:v>
                </c:pt>
                <c:pt idx="33">
                  <c:v>1.167E-2</c:v>
                </c:pt>
                <c:pt idx="34">
                  <c:v>1.1379999999999999E-2</c:v>
                </c:pt>
                <c:pt idx="35">
                  <c:v>1.0449999999999999E-2</c:v>
                </c:pt>
                <c:pt idx="36">
                  <c:v>9.3799999999999994E-3</c:v>
                </c:pt>
                <c:pt idx="37">
                  <c:v>9.1900000000000003E-3</c:v>
                </c:pt>
                <c:pt idx="38">
                  <c:v>9.6800000000000011E-3</c:v>
                </c:pt>
                <c:pt idx="39">
                  <c:v>0</c:v>
                </c:pt>
                <c:pt idx="40">
                  <c:v>0</c:v>
                </c:pt>
                <c:pt idx="41">
                  <c:v>0</c:v>
                </c:pt>
                <c:pt idx="42">
                  <c:v>0</c:v>
                </c:pt>
                <c:pt idx="43">
                  <c:v>0</c:v>
                </c:pt>
                <c:pt idx="44">
                  <c:v>0</c:v>
                </c:pt>
                <c:pt idx="45">
                  <c:v>0</c:v>
                </c:pt>
                <c:pt idx="46">
                  <c:v>0</c:v>
                </c:pt>
                <c:pt idx="47">
                  <c:v>0</c:v>
                </c:pt>
                <c:pt idx="48">
                  <c:v>0</c:v>
                </c:pt>
                <c:pt idx="49">
                  <c:v>0</c:v>
                </c:pt>
                <c:pt idx="50">
                  <c:v>0</c:v>
                </c:pt>
                <c:pt idx="51">
                  <c:v>0</c:v>
                </c:pt>
                <c:pt idx="52">
                  <c:v>2.4389999999999998E-2</c:v>
                </c:pt>
                <c:pt idx="53">
                  <c:v>1.34E-3</c:v>
                </c:pt>
                <c:pt idx="54">
                  <c:v>5.3200000000000009E-3</c:v>
                </c:pt>
                <c:pt idx="55">
                  <c:v>8.320000000000001E-3</c:v>
                </c:pt>
                <c:pt idx="56">
                  <c:v>1.4419999999999999E-2</c:v>
                </c:pt>
                <c:pt idx="57">
                  <c:v>6.6700000000000006E-3</c:v>
                </c:pt>
                <c:pt idx="58">
                  <c:v>8.3000000000000001E-3</c:v>
                </c:pt>
                <c:pt idx="59">
                  <c:v>4.5999999999999999E-3</c:v>
                </c:pt>
              </c:numCache>
            </c:numRef>
          </c:val>
          <c:extLst>
            <c:ext xmlns:c16="http://schemas.microsoft.com/office/drawing/2014/chart" uri="{C3380CC4-5D6E-409C-BE32-E72D297353CC}">
              <c16:uniqueId val="{00000004-F81F-4CE3-B962-37C32542A20A}"/>
            </c:ext>
          </c:extLst>
        </c:ser>
        <c:ser>
          <c:idx val="5"/>
          <c:order val="5"/>
          <c:tx>
            <c:strRef>
              <c:f>DisCartera!$R$2</c:f>
              <c:strCache>
                <c:ptCount val="1"/>
                <c:pt idx="0">
                  <c:v>A</c:v>
                </c:pt>
              </c:strCache>
            </c:strRef>
          </c:tx>
          <c:spPr>
            <a:solidFill>
              <a:srgbClr val="AE1619"/>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DisCartera!$R$3:$R$62</c:f>
              <c:numCache>
                <c:formatCode>0.00%</c:formatCode>
                <c:ptCount val="60"/>
                <c:pt idx="0">
                  <c:v>0.65381</c:v>
                </c:pt>
                <c:pt idx="1">
                  <c:v>0.64521000000000017</c:v>
                </c:pt>
                <c:pt idx="2">
                  <c:v>0.6674500000000001</c:v>
                </c:pt>
                <c:pt idx="3">
                  <c:v>0.67981000000000036</c:v>
                </c:pt>
                <c:pt idx="4">
                  <c:v>0.72175999999999974</c:v>
                </c:pt>
                <c:pt idx="5">
                  <c:v>0.69088000000000016</c:v>
                </c:pt>
                <c:pt idx="6">
                  <c:v>0.7143400000000002</c:v>
                </c:pt>
                <c:pt idx="7">
                  <c:v>0.68170999999999993</c:v>
                </c:pt>
                <c:pt idx="8">
                  <c:v>0.71711000000000014</c:v>
                </c:pt>
                <c:pt idx="9">
                  <c:v>0.64810999999999985</c:v>
                </c:pt>
                <c:pt idx="10">
                  <c:v>0.69257999999999986</c:v>
                </c:pt>
                <c:pt idx="11">
                  <c:v>0.65649999999999986</c:v>
                </c:pt>
                <c:pt idx="12">
                  <c:v>0.65999999999999992</c:v>
                </c:pt>
                <c:pt idx="13">
                  <c:v>0.63977000000000028</c:v>
                </c:pt>
                <c:pt idx="14">
                  <c:v>0.62723000000000007</c:v>
                </c:pt>
                <c:pt idx="15">
                  <c:v>0.57711999999999986</c:v>
                </c:pt>
                <c:pt idx="16">
                  <c:v>0.63463999999999965</c:v>
                </c:pt>
                <c:pt idx="17">
                  <c:v>0.63423999999999969</c:v>
                </c:pt>
                <c:pt idx="18">
                  <c:v>0.56859999999999988</c:v>
                </c:pt>
                <c:pt idx="19">
                  <c:v>0.58885999999999983</c:v>
                </c:pt>
                <c:pt idx="20">
                  <c:v>0.58095999999999981</c:v>
                </c:pt>
                <c:pt idx="21">
                  <c:v>0.6045600000000001</c:v>
                </c:pt>
                <c:pt idx="22">
                  <c:v>0.60205000000000031</c:v>
                </c:pt>
                <c:pt idx="23">
                  <c:v>0.57438999999999985</c:v>
                </c:pt>
                <c:pt idx="24">
                  <c:v>0.59851999999999994</c:v>
                </c:pt>
                <c:pt idx="25">
                  <c:v>0.57513000000000025</c:v>
                </c:pt>
                <c:pt idx="26">
                  <c:v>0.64088000000000012</c:v>
                </c:pt>
                <c:pt idx="27">
                  <c:v>0.6194200000000003</c:v>
                </c:pt>
                <c:pt idx="28">
                  <c:v>0.6952400000000003</c:v>
                </c:pt>
                <c:pt idx="29">
                  <c:v>0.70057000000000014</c:v>
                </c:pt>
                <c:pt idx="30">
                  <c:v>0.69973999999999981</c:v>
                </c:pt>
                <c:pt idx="31">
                  <c:v>0.6884800000000002</c:v>
                </c:pt>
                <c:pt idx="32">
                  <c:v>0.69838000000000056</c:v>
                </c:pt>
                <c:pt idx="33">
                  <c:v>0.71260999999999997</c:v>
                </c:pt>
                <c:pt idx="34">
                  <c:v>0.71137000000000006</c:v>
                </c:pt>
                <c:pt idx="35">
                  <c:v>0.70192999999999983</c:v>
                </c:pt>
                <c:pt idx="36">
                  <c:v>0.72363999999999995</c:v>
                </c:pt>
                <c:pt idx="37">
                  <c:v>0.73593999999999993</c:v>
                </c:pt>
                <c:pt idx="38">
                  <c:v>0.73428000000000071</c:v>
                </c:pt>
                <c:pt idx="39">
                  <c:v>0.7502000000000002</c:v>
                </c:pt>
                <c:pt idx="40">
                  <c:v>0.74264000000000041</c:v>
                </c:pt>
                <c:pt idx="41">
                  <c:v>0.71017000000000075</c:v>
                </c:pt>
                <c:pt idx="42">
                  <c:v>0.72241000000000066</c:v>
                </c:pt>
                <c:pt idx="43">
                  <c:v>0.71811999999999987</c:v>
                </c:pt>
                <c:pt idx="44">
                  <c:v>0.71267000000000025</c:v>
                </c:pt>
                <c:pt idx="45">
                  <c:v>0.70632999999999968</c:v>
                </c:pt>
                <c:pt idx="46">
                  <c:v>0.70836000000000043</c:v>
                </c:pt>
                <c:pt idx="47">
                  <c:v>0.69963999999999993</c:v>
                </c:pt>
                <c:pt idx="48">
                  <c:v>0.70538000000000045</c:v>
                </c:pt>
                <c:pt idx="49">
                  <c:v>0.69641999999999948</c:v>
                </c:pt>
                <c:pt idx="50">
                  <c:v>0.70369000000000015</c:v>
                </c:pt>
                <c:pt idx="51">
                  <c:v>0.69772999999999974</c:v>
                </c:pt>
                <c:pt idx="52">
                  <c:v>0.7015499999999999</c:v>
                </c:pt>
                <c:pt idx="53">
                  <c:v>0.72970000000000024</c:v>
                </c:pt>
                <c:pt idx="54">
                  <c:v>0.72154000000000007</c:v>
                </c:pt>
                <c:pt idx="55">
                  <c:v>0.73412999999999973</c:v>
                </c:pt>
                <c:pt idx="56">
                  <c:v>0.70749000000000006</c:v>
                </c:pt>
                <c:pt idx="57">
                  <c:v>0.72410000000000008</c:v>
                </c:pt>
                <c:pt idx="58">
                  <c:v>0.73998000000000019</c:v>
                </c:pt>
                <c:pt idx="59">
                  <c:v>0.72474999999999989</c:v>
                </c:pt>
              </c:numCache>
            </c:numRef>
          </c:val>
          <c:extLst>
            <c:ext xmlns:c16="http://schemas.microsoft.com/office/drawing/2014/chart" uri="{C3380CC4-5D6E-409C-BE32-E72D297353CC}">
              <c16:uniqueId val="{00000005-F81F-4CE3-B962-37C32542A20A}"/>
            </c:ext>
          </c:extLst>
        </c:ser>
        <c:ser>
          <c:idx val="6"/>
          <c:order val="6"/>
          <c:tx>
            <c:strRef>
              <c:f>DisCartera!$S$2</c:f>
              <c:strCache>
                <c:ptCount val="1"/>
                <c:pt idx="0">
                  <c:v>A-</c:v>
                </c:pt>
              </c:strCache>
            </c:strRef>
          </c:tx>
          <c:spPr>
            <a:solidFill>
              <a:schemeClr val="accent1">
                <a:lumMod val="60000"/>
              </a:schemeClr>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f>DisCartera!$S$3:$S$62</c:f>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6-F81F-4CE3-B962-37C32542A20A}"/>
            </c:ext>
          </c:extLst>
        </c:ser>
        <c:ser>
          <c:idx val="7"/>
          <c:order val="7"/>
          <c:tx>
            <c:strRef>
              <c:f>DisCartera!$T$2</c:f>
              <c:strCache>
                <c:ptCount val="1"/>
                <c:pt idx="0">
                  <c:v>BBB+</c:v>
                </c:pt>
              </c:strCache>
              <c:extLst xmlns:c15="http://schemas.microsoft.com/office/drawing/2012/chart"/>
            </c:strRef>
          </c:tx>
          <c:spPr>
            <a:solidFill>
              <a:schemeClr val="accent2">
                <a:lumMod val="60000"/>
              </a:schemeClr>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extLst xmlns:c15="http://schemas.microsoft.com/office/drawing/2012/chart"/>
            </c:numRef>
          </c:cat>
          <c:val>
            <c:numRef>
              <c:f>DisCartera!$T$3:$T$62</c:f>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7.7000000000000002E-3</c:v>
                </c:pt>
                <c:pt idx="34">
                  <c:v>7.6600000000000001E-3</c:v>
                </c:pt>
                <c:pt idx="35">
                  <c:v>6.8600000000000006E-3</c:v>
                </c:pt>
                <c:pt idx="36">
                  <c:v>6.0699999999999999E-3</c:v>
                </c:pt>
                <c:pt idx="37">
                  <c:v>5.9699999999999996E-3</c:v>
                </c:pt>
                <c:pt idx="38">
                  <c:v>6.3099999999999996E-3</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extLst xmlns:c15="http://schemas.microsoft.com/office/drawing/2012/chart"/>
            </c:numRef>
          </c:val>
          <c:extLst xmlns:c15="http://schemas.microsoft.com/office/drawing/2012/chart">
            <c:ext xmlns:c16="http://schemas.microsoft.com/office/drawing/2014/chart" uri="{C3380CC4-5D6E-409C-BE32-E72D297353CC}">
              <c16:uniqueId val="{00000007-F81F-4CE3-B962-37C32542A20A}"/>
            </c:ext>
          </c:extLst>
        </c:ser>
        <c:ser>
          <c:idx val="8"/>
          <c:order val="8"/>
          <c:tx>
            <c:strRef>
              <c:f>DisCartera!$U$2</c:f>
              <c:strCache>
                <c:ptCount val="1"/>
                <c:pt idx="0">
                  <c:v>BBB</c:v>
                </c:pt>
              </c:strCache>
              <c:extLst xmlns:c15="http://schemas.microsoft.com/office/drawing/2012/chart"/>
            </c:strRef>
          </c:tx>
          <c:spPr>
            <a:solidFill>
              <a:srgbClr val="333D6B"/>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extLst xmlns:c15="http://schemas.microsoft.com/office/drawing/2012/chart"/>
            </c:numRef>
          </c:cat>
          <c:val>
            <c:numRef>
              <c:f>DisCartera!$U$3:$U$62</c:f>
              <c:numCache>
                <c:formatCode>0.00%</c:formatCode>
                <c:ptCount val="60"/>
                <c:pt idx="0">
                  <c:v>0.23320000000000005</c:v>
                </c:pt>
                <c:pt idx="1">
                  <c:v>0.22032000000000002</c:v>
                </c:pt>
                <c:pt idx="2">
                  <c:v>0.22881000000000001</c:v>
                </c:pt>
                <c:pt idx="3">
                  <c:v>0.22636000000000001</c:v>
                </c:pt>
                <c:pt idx="4">
                  <c:v>0.16902</c:v>
                </c:pt>
                <c:pt idx="5">
                  <c:v>0.17806000000000002</c:v>
                </c:pt>
                <c:pt idx="6">
                  <c:v>0.19376999999999997</c:v>
                </c:pt>
                <c:pt idx="7">
                  <c:v>0.18012</c:v>
                </c:pt>
                <c:pt idx="8">
                  <c:v>0.19515000000000002</c:v>
                </c:pt>
                <c:pt idx="9">
                  <c:v>0.19776999999999997</c:v>
                </c:pt>
                <c:pt idx="10">
                  <c:v>0.21397000000000002</c:v>
                </c:pt>
                <c:pt idx="11">
                  <c:v>0.19853999999999999</c:v>
                </c:pt>
                <c:pt idx="12">
                  <c:v>0.20734000000000002</c:v>
                </c:pt>
                <c:pt idx="13">
                  <c:v>0.20960000000000001</c:v>
                </c:pt>
                <c:pt idx="14">
                  <c:v>0.22664999999999999</c:v>
                </c:pt>
                <c:pt idx="15">
                  <c:v>0.25893000000000005</c:v>
                </c:pt>
                <c:pt idx="16">
                  <c:v>0.24184999999999993</c:v>
                </c:pt>
                <c:pt idx="17">
                  <c:v>0.24737000000000001</c:v>
                </c:pt>
                <c:pt idx="18">
                  <c:v>0.27861000000000002</c:v>
                </c:pt>
                <c:pt idx="19">
                  <c:v>0.28576999999999991</c:v>
                </c:pt>
                <c:pt idx="20">
                  <c:v>0.27646999999999999</c:v>
                </c:pt>
                <c:pt idx="21">
                  <c:v>0.24329999999999996</c:v>
                </c:pt>
                <c:pt idx="22">
                  <c:v>0.23784000000000005</c:v>
                </c:pt>
                <c:pt idx="23">
                  <c:v>0.23874999999999996</c:v>
                </c:pt>
                <c:pt idx="24">
                  <c:v>0.23982000000000006</c:v>
                </c:pt>
                <c:pt idx="25">
                  <c:v>0.16827999999999999</c:v>
                </c:pt>
                <c:pt idx="26">
                  <c:v>0.18308999999999997</c:v>
                </c:pt>
                <c:pt idx="27">
                  <c:v>0.19613000000000003</c:v>
                </c:pt>
                <c:pt idx="28">
                  <c:v>0.19432000000000005</c:v>
                </c:pt>
                <c:pt idx="29">
                  <c:v>0.19295000000000001</c:v>
                </c:pt>
                <c:pt idx="30">
                  <c:v>0.19244000000000003</c:v>
                </c:pt>
                <c:pt idx="31">
                  <c:v>0.19635999999999995</c:v>
                </c:pt>
                <c:pt idx="32">
                  <c:v>0.19987999999999992</c:v>
                </c:pt>
                <c:pt idx="33">
                  <c:v>0.19139000000000003</c:v>
                </c:pt>
                <c:pt idx="34">
                  <c:v>0.19577999999999995</c:v>
                </c:pt>
                <c:pt idx="35">
                  <c:v>0.19636999999999996</c:v>
                </c:pt>
                <c:pt idx="36">
                  <c:v>0.18002000000000004</c:v>
                </c:pt>
                <c:pt idx="37">
                  <c:v>0.17727999999999999</c:v>
                </c:pt>
                <c:pt idx="38">
                  <c:v>0.15465000000000004</c:v>
                </c:pt>
                <c:pt idx="39">
                  <c:v>0.15413000000000004</c:v>
                </c:pt>
                <c:pt idx="40">
                  <c:v>0.15189999999999998</c:v>
                </c:pt>
                <c:pt idx="41">
                  <c:v>0.17788000000000001</c:v>
                </c:pt>
                <c:pt idx="42">
                  <c:v>0.17342000000000007</c:v>
                </c:pt>
                <c:pt idx="43">
                  <c:v>0.17412000000000002</c:v>
                </c:pt>
                <c:pt idx="44">
                  <c:v>0.16962999999999998</c:v>
                </c:pt>
                <c:pt idx="45">
                  <c:v>0.18195999999999993</c:v>
                </c:pt>
                <c:pt idx="46">
                  <c:v>0.16242000000000004</c:v>
                </c:pt>
                <c:pt idx="47">
                  <c:v>0.17351000000000005</c:v>
                </c:pt>
                <c:pt idx="48">
                  <c:v>0.17751999999999998</c:v>
                </c:pt>
                <c:pt idx="49">
                  <c:v>0.18175999999999998</c:v>
                </c:pt>
                <c:pt idx="50">
                  <c:v>0.19585</c:v>
                </c:pt>
                <c:pt idx="51">
                  <c:v>0.18487000000000003</c:v>
                </c:pt>
                <c:pt idx="52">
                  <c:v>0.18876999999999999</c:v>
                </c:pt>
                <c:pt idx="53">
                  <c:v>0.18294000000000007</c:v>
                </c:pt>
                <c:pt idx="54">
                  <c:v>0.18572999999999998</c:v>
                </c:pt>
                <c:pt idx="55">
                  <c:v>0.18162000000000006</c:v>
                </c:pt>
                <c:pt idx="56">
                  <c:v>0.17733000000000002</c:v>
                </c:pt>
                <c:pt idx="57">
                  <c:v>0.19154000000000002</c:v>
                </c:pt>
                <c:pt idx="58">
                  <c:v>0.1771600000000001</c:v>
                </c:pt>
                <c:pt idx="59">
                  <c:v>0.17759000000000003</c:v>
                </c:pt>
              </c:numCache>
              <c:extLst xmlns:c15="http://schemas.microsoft.com/office/drawing/2012/chart"/>
            </c:numRef>
          </c:val>
          <c:extLst xmlns:c15="http://schemas.microsoft.com/office/drawing/2012/chart">
            <c:ext xmlns:c16="http://schemas.microsoft.com/office/drawing/2014/chart" uri="{C3380CC4-5D6E-409C-BE32-E72D297353CC}">
              <c16:uniqueId val="{00000008-F81F-4CE3-B962-37C32542A20A}"/>
            </c:ext>
          </c:extLst>
        </c:ser>
        <c:ser>
          <c:idx val="9"/>
          <c:order val="9"/>
          <c:tx>
            <c:strRef>
              <c:f>DisCartera!$V$2</c:f>
              <c:strCache>
                <c:ptCount val="1"/>
                <c:pt idx="0">
                  <c:v>BBB-</c:v>
                </c:pt>
              </c:strCache>
              <c:extLst xmlns:c15="http://schemas.microsoft.com/office/drawing/2012/chart"/>
            </c:strRef>
          </c:tx>
          <c:spPr>
            <a:solidFill>
              <a:srgbClr val="878787"/>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extLst xmlns:c15="http://schemas.microsoft.com/office/drawing/2012/chart"/>
            </c:numRef>
          </c:cat>
          <c:val>
            <c:numRef>
              <c:f>DisCartera!$V$3:$V$62</c:f>
              <c:numCache>
                <c:formatCode>0.00%</c:formatCode>
                <c:ptCount val="60"/>
                <c:pt idx="0">
                  <c:v>4.9400000000000006E-2</c:v>
                </c:pt>
                <c:pt idx="1">
                  <c:v>3.279E-2</c:v>
                </c:pt>
                <c:pt idx="2">
                  <c:v>2.8119999999999999E-2</c:v>
                </c:pt>
                <c:pt idx="3">
                  <c:v>3.952E-2</c:v>
                </c:pt>
                <c:pt idx="4">
                  <c:v>5.5300000000000002E-2</c:v>
                </c:pt>
                <c:pt idx="5">
                  <c:v>5.3970000000000004E-2</c:v>
                </c:pt>
                <c:pt idx="6">
                  <c:v>4.1919999999999999E-2</c:v>
                </c:pt>
                <c:pt idx="7">
                  <c:v>4.0629999999999999E-2</c:v>
                </c:pt>
                <c:pt idx="8">
                  <c:v>2.529E-2</c:v>
                </c:pt>
                <c:pt idx="9">
                  <c:v>2.4670000000000001E-2</c:v>
                </c:pt>
                <c:pt idx="10">
                  <c:v>2.6610000000000002E-2</c:v>
                </c:pt>
                <c:pt idx="11">
                  <c:v>2.631E-2</c:v>
                </c:pt>
                <c:pt idx="12">
                  <c:v>4.9759999999999999E-2</c:v>
                </c:pt>
                <c:pt idx="13">
                  <c:v>6.8280000000000007E-2</c:v>
                </c:pt>
                <c:pt idx="14">
                  <c:v>9.8870000000000013E-2</c:v>
                </c:pt>
                <c:pt idx="15">
                  <c:v>7.2760000000000005E-2</c:v>
                </c:pt>
                <c:pt idx="16">
                  <c:v>6.4350000000000004E-2</c:v>
                </c:pt>
                <c:pt idx="17">
                  <c:v>6.028E-2</c:v>
                </c:pt>
                <c:pt idx="18">
                  <c:v>6.7099999999999993E-2</c:v>
                </c:pt>
                <c:pt idx="19">
                  <c:v>6.3439999999999996E-2</c:v>
                </c:pt>
                <c:pt idx="20">
                  <c:v>6.2060000000000004E-2</c:v>
                </c:pt>
                <c:pt idx="21">
                  <c:v>6.9790000000000005E-2</c:v>
                </c:pt>
                <c:pt idx="22">
                  <c:v>7.1229999999999988E-2</c:v>
                </c:pt>
                <c:pt idx="23">
                  <c:v>7.8179999999999972E-2</c:v>
                </c:pt>
                <c:pt idx="24">
                  <c:v>8.4179999999999991E-2</c:v>
                </c:pt>
                <c:pt idx="25">
                  <c:v>7.2130000000000014E-2</c:v>
                </c:pt>
                <c:pt idx="26">
                  <c:v>7.0849999999999996E-2</c:v>
                </c:pt>
                <c:pt idx="27">
                  <c:v>6.8110000000000018E-2</c:v>
                </c:pt>
                <c:pt idx="28">
                  <c:v>6.6059999999999994E-2</c:v>
                </c:pt>
                <c:pt idx="29">
                  <c:v>6.5179999999999988E-2</c:v>
                </c:pt>
                <c:pt idx="30">
                  <c:v>6.2249999999999993E-2</c:v>
                </c:pt>
                <c:pt idx="31">
                  <c:v>5.4080000000000003E-2</c:v>
                </c:pt>
                <c:pt idx="32">
                  <c:v>5.1580000000000001E-2</c:v>
                </c:pt>
                <c:pt idx="33">
                  <c:v>4.5780000000000001E-2</c:v>
                </c:pt>
                <c:pt idx="34">
                  <c:v>4.0390000000000002E-2</c:v>
                </c:pt>
                <c:pt idx="35">
                  <c:v>4.6439999999999995E-2</c:v>
                </c:pt>
                <c:pt idx="36">
                  <c:v>4.6079999999999996E-2</c:v>
                </c:pt>
                <c:pt idx="37">
                  <c:v>4.4900000000000002E-2</c:v>
                </c:pt>
                <c:pt idx="38">
                  <c:v>5.2349999999999994E-2</c:v>
                </c:pt>
                <c:pt idx="39">
                  <c:v>4.6509999999999996E-2</c:v>
                </c:pt>
                <c:pt idx="40">
                  <c:v>6.0409999999999991E-2</c:v>
                </c:pt>
                <c:pt idx="41">
                  <c:v>7.5610000000000024E-2</c:v>
                </c:pt>
                <c:pt idx="42">
                  <c:v>6.5960000000000005E-2</c:v>
                </c:pt>
                <c:pt idx="43">
                  <c:v>6.6589999999999996E-2</c:v>
                </c:pt>
                <c:pt idx="44">
                  <c:v>6.0469999999999996E-2</c:v>
                </c:pt>
                <c:pt idx="45">
                  <c:v>5.6300000000000003E-2</c:v>
                </c:pt>
                <c:pt idx="46">
                  <c:v>6.0780000000000001E-2</c:v>
                </c:pt>
                <c:pt idx="47">
                  <c:v>6.0419999999999988E-2</c:v>
                </c:pt>
                <c:pt idx="48">
                  <c:v>5.8460000000000005E-2</c:v>
                </c:pt>
                <c:pt idx="49">
                  <c:v>6.0180000000000004E-2</c:v>
                </c:pt>
                <c:pt idx="50">
                  <c:v>3.8550000000000008E-2</c:v>
                </c:pt>
                <c:pt idx="51">
                  <c:v>3.9460000000000002E-2</c:v>
                </c:pt>
                <c:pt idx="52">
                  <c:v>3.8879999999999998E-2</c:v>
                </c:pt>
                <c:pt idx="53">
                  <c:v>4.2720000000000001E-2</c:v>
                </c:pt>
                <c:pt idx="54">
                  <c:v>4.0979999999999996E-2</c:v>
                </c:pt>
                <c:pt idx="55">
                  <c:v>4.4520000000000004E-2</c:v>
                </c:pt>
                <c:pt idx="56">
                  <c:v>4.5790000000000004E-2</c:v>
                </c:pt>
                <c:pt idx="57">
                  <c:v>4.1059999999999999E-2</c:v>
                </c:pt>
                <c:pt idx="58">
                  <c:v>4.1590000000000002E-2</c:v>
                </c:pt>
                <c:pt idx="59">
                  <c:v>5.108E-2</c:v>
                </c:pt>
              </c:numCache>
              <c:extLst xmlns:c15="http://schemas.microsoft.com/office/drawing/2012/chart"/>
            </c:numRef>
          </c:val>
          <c:extLst xmlns:c15="http://schemas.microsoft.com/office/drawing/2012/chart">
            <c:ext xmlns:c16="http://schemas.microsoft.com/office/drawing/2014/chart" uri="{C3380CC4-5D6E-409C-BE32-E72D297353CC}">
              <c16:uniqueId val="{00000009-F81F-4CE3-B962-37C32542A20A}"/>
            </c:ext>
          </c:extLst>
        </c:ser>
        <c:ser>
          <c:idx val="14"/>
          <c:order val="14"/>
          <c:tx>
            <c:strRef>
              <c:f>DisCartera!$AA$2</c:f>
              <c:strCache>
                <c:ptCount val="1"/>
                <c:pt idx="0">
                  <c:v>B</c:v>
                </c:pt>
              </c:strCache>
              <c:extLst xmlns:c15="http://schemas.microsoft.com/office/drawing/2012/chart"/>
            </c:strRef>
          </c:tx>
          <c:spPr>
            <a:solidFill>
              <a:srgbClr val="7586BE"/>
            </a:solidFill>
            <a:ln>
              <a:noFill/>
            </a:ln>
            <a:effectLst/>
          </c:spPr>
          <c:invertIfNegative val="0"/>
          <c:cat>
            <c:numRef>
              <c:f>DisCartera!$L$3:$L$62</c:f>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extLst xmlns:c15="http://schemas.microsoft.com/office/drawing/2012/chart"/>
            </c:numRef>
          </c:cat>
          <c:val>
            <c:numRef>
              <c:f>DisCartera!$AA$3:$AA$62</c:f>
              <c:numCache>
                <c:formatCode>0.00%</c:formatCode>
                <c:ptCount val="60"/>
                <c:pt idx="0">
                  <c:v>1.5890000000000001E-2</c:v>
                </c:pt>
                <c:pt idx="1">
                  <c:v>1.46E-2</c:v>
                </c:pt>
                <c:pt idx="2">
                  <c:v>1.538E-2</c:v>
                </c:pt>
                <c:pt idx="3">
                  <c:v>9.5199999999999989E-3</c:v>
                </c:pt>
                <c:pt idx="4">
                  <c:v>7.8300000000000002E-3</c:v>
                </c:pt>
                <c:pt idx="5">
                  <c:v>9.11E-3</c:v>
                </c:pt>
                <c:pt idx="6">
                  <c:v>9.7699999999999992E-3</c:v>
                </c:pt>
                <c:pt idx="7">
                  <c:v>8.9700000000000005E-3</c:v>
                </c:pt>
                <c:pt idx="8">
                  <c:v>1.022E-2</c:v>
                </c:pt>
                <c:pt idx="9">
                  <c:v>9.92E-3</c:v>
                </c:pt>
                <c:pt idx="10">
                  <c:v>1.1080000000000001E-2</c:v>
                </c:pt>
                <c:pt idx="11">
                  <c:v>1.0970000000000001E-2</c:v>
                </c:pt>
                <c:pt idx="12">
                  <c:v>4.4099999999999999E-3</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3.0799999999999998E-3</c:v>
                </c:pt>
                <c:pt idx="38">
                  <c:v>3.2700000000000003E-3</c:v>
                </c:pt>
                <c:pt idx="39">
                  <c:v>2.2380000000000001E-2</c:v>
                </c:pt>
                <c:pt idx="40">
                  <c:v>9.2399999999999999E-3</c:v>
                </c:pt>
                <c:pt idx="41">
                  <c:v>9.2800000000000001E-3</c:v>
                </c:pt>
                <c:pt idx="42">
                  <c:v>9.3299999999999998E-3</c:v>
                </c:pt>
                <c:pt idx="43">
                  <c:v>9.11E-3</c:v>
                </c:pt>
                <c:pt idx="44">
                  <c:v>1.866E-2</c:v>
                </c:pt>
                <c:pt idx="45">
                  <c:v>1.9099999999999999E-2</c:v>
                </c:pt>
                <c:pt idx="46">
                  <c:v>2.0099999999999996E-2</c:v>
                </c:pt>
                <c:pt idx="47">
                  <c:v>2.1899999999999999E-2</c:v>
                </c:pt>
                <c:pt idx="48">
                  <c:v>2.3399999999999997E-2</c:v>
                </c:pt>
                <c:pt idx="49">
                  <c:v>2.316E-2</c:v>
                </c:pt>
                <c:pt idx="50">
                  <c:v>2.504E-2</c:v>
                </c:pt>
                <c:pt idx="51">
                  <c:v>2.5819999999999999E-2</c:v>
                </c:pt>
                <c:pt idx="52">
                  <c:v>2.6080000000000002E-2</c:v>
                </c:pt>
                <c:pt idx="53">
                  <c:v>2.7919999999999997E-2</c:v>
                </c:pt>
                <c:pt idx="54">
                  <c:v>2.7679999999999996E-2</c:v>
                </c:pt>
                <c:pt idx="55">
                  <c:v>2.828E-2</c:v>
                </c:pt>
                <c:pt idx="56">
                  <c:v>2.8319999999999998E-2</c:v>
                </c:pt>
                <c:pt idx="57">
                  <c:v>2.9220000000000003E-2</c:v>
                </c:pt>
                <c:pt idx="58">
                  <c:v>3.1259999999999996E-2</c:v>
                </c:pt>
                <c:pt idx="59">
                  <c:v>3.27E-2</c:v>
                </c:pt>
              </c:numCache>
              <c:extLst xmlns:c15="http://schemas.microsoft.com/office/drawing/2012/chart"/>
            </c:numRef>
          </c:val>
          <c:extLst xmlns:c15="http://schemas.microsoft.com/office/drawing/2012/chart">
            <c:ext xmlns:c16="http://schemas.microsoft.com/office/drawing/2014/chart" uri="{C3380CC4-5D6E-409C-BE32-E72D297353CC}">
              <c16:uniqueId val="{0000000A-F81F-4CE3-B962-37C32542A20A}"/>
            </c:ext>
          </c:extLst>
        </c:ser>
        <c:dLbls>
          <c:showLegendKey val="0"/>
          <c:showVal val="0"/>
          <c:showCatName val="0"/>
          <c:showSerName val="0"/>
          <c:showPercent val="0"/>
          <c:showBubbleSize val="0"/>
        </c:dLbls>
        <c:gapWidth val="0"/>
        <c:overlap val="100"/>
        <c:axId val="713169536"/>
        <c:axId val="720962304"/>
        <c:extLst>
          <c:ext xmlns:c15="http://schemas.microsoft.com/office/drawing/2012/chart" uri="{02D57815-91ED-43cb-92C2-25804820EDAC}">
            <c15:filteredBarSeries>
              <c15:ser>
                <c:idx val="10"/>
                <c:order val="10"/>
                <c:tx>
                  <c:strRef>
                    <c:extLst>
                      <c:ext uri="{02D57815-91ED-43cb-92C2-25804820EDAC}">
                        <c15:formulaRef>
                          <c15:sqref>DisCartera!$W$2</c15:sqref>
                        </c15:formulaRef>
                      </c:ext>
                    </c:extLst>
                    <c:strCache>
                      <c:ptCount val="1"/>
                      <c:pt idx="0">
                        <c:v>BB+</c:v>
                      </c:pt>
                    </c:strCache>
                  </c:strRef>
                </c:tx>
                <c:spPr>
                  <a:solidFill>
                    <a:schemeClr val="accent5">
                      <a:lumMod val="60000"/>
                    </a:schemeClr>
                  </a:solidFill>
                  <a:ln>
                    <a:noFill/>
                  </a:ln>
                  <a:effectLst/>
                </c:spPr>
                <c:invertIfNegative val="0"/>
                <c:cat>
                  <c:numRef>
                    <c:extLst>
                      <c:ex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c:ext uri="{02D57815-91ED-43cb-92C2-25804820EDAC}">
                        <c15:formulaRef>
                          <c15:sqref>DisCartera!$W$3:$W$62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c:ext xmlns:c16="http://schemas.microsoft.com/office/drawing/2014/chart" uri="{C3380CC4-5D6E-409C-BE32-E72D297353CC}">
                    <c16:uniqueId val="{0000000B-F81F-4CE3-B962-37C32542A20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DisCartera!$X$2</c15:sqref>
                        </c15:formulaRef>
                      </c:ext>
                    </c:extLst>
                    <c:strCache>
                      <c:ptCount val="1"/>
                      <c:pt idx="0">
                        <c:v>BB</c:v>
                      </c:pt>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xmlns:c15="http://schemas.microsoft.com/office/drawing/2012/chart">
                      <c:ext xmlns:c15="http://schemas.microsoft.com/office/drawing/2012/chart" uri="{02D57815-91ED-43cb-92C2-25804820EDAC}">
                        <c15:formulaRef>
                          <c15:sqref>DisCartera!$X$3:$X$62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8.9899999999999997E-3</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xmlns:c15="http://schemas.microsoft.com/office/drawing/2012/chart">
                  <c:ext xmlns:c16="http://schemas.microsoft.com/office/drawing/2014/chart" uri="{C3380CC4-5D6E-409C-BE32-E72D297353CC}">
                    <c16:uniqueId val="{0000000C-F81F-4CE3-B962-37C32542A20A}"/>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DisCartera!$Y$2</c15:sqref>
                        </c15:formulaRef>
                      </c:ext>
                    </c:extLst>
                    <c:strCache>
                      <c:ptCount val="1"/>
                      <c:pt idx="0">
                        <c:v>BB-</c:v>
                      </c:pt>
                    </c:strCache>
                  </c:strRef>
                </c:tx>
                <c:spPr>
                  <a:solidFill>
                    <a:schemeClr val="accent1">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xmlns:c15="http://schemas.microsoft.com/office/drawing/2012/chart">
                      <c:ext xmlns:c15="http://schemas.microsoft.com/office/drawing/2012/chart" uri="{02D57815-91ED-43cb-92C2-25804820EDAC}">
                        <c15:formulaRef>
                          <c15:sqref>DisCartera!$Y$3:$Y$62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xmlns:c15="http://schemas.microsoft.com/office/drawing/2012/chart">
                  <c:ext xmlns:c16="http://schemas.microsoft.com/office/drawing/2014/chart" uri="{C3380CC4-5D6E-409C-BE32-E72D297353CC}">
                    <c16:uniqueId val="{0000000D-F81F-4CE3-B962-37C32542A20A}"/>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DisCartera!$Z$2</c15:sqref>
                        </c15:formulaRef>
                      </c:ext>
                    </c:extLst>
                    <c:strCache>
                      <c:ptCount val="1"/>
                      <c:pt idx="0">
                        <c:v>B+</c:v>
                      </c:pt>
                    </c:strCache>
                  </c:strRef>
                </c:tx>
                <c:spPr>
                  <a:solidFill>
                    <a:schemeClr val="accent2">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xmlns:c15="http://schemas.microsoft.com/office/drawing/2012/chart">
                      <c:ext xmlns:c15="http://schemas.microsoft.com/office/drawing/2012/chart" uri="{02D57815-91ED-43cb-92C2-25804820EDAC}">
                        <c15:formulaRef>
                          <c15:sqref>DisCartera!$Z$3:$Z$62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xmlns:c15="http://schemas.microsoft.com/office/drawing/2012/chart">
                  <c:ext xmlns:c16="http://schemas.microsoft.com/office/drawing/2014/chart" uri="{C3380CC4-5D6E-409C-BE32-E72D297353CC}">
                    <c16:uniqueId val="{0000000E-F81F-4CE3-B962-37C32542A20A}"/>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DisCartera!$AB$2</c15:sqref>
                        </c15:formulaRef>
                      </c:ext>
                    </c:extLst>
                    <c:strCache>
                      <c:ptCount val="1"/>
                      <c:pt idx="0">
                        <c:v>B-</c:v>
                      </c:pt>
                    </c:strCache>
                  </c:strRef>
                </c:tx>
                <c:spPr>
                  <a:solidFill>
                    <a:schemeClr val="accent4">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xmlns:c15="http://schemas.microsoft.com/office/drawing/2012/chart">
                      <c:ext xmlns:c15="http://schemas.microsoft.com/office/drawing/2012/chart" uri="{02D57815-91ED-43cb-92C2-25804820EDAC}">
                        <c15:formulaRef>
                          <c15:sqref>DisCartera!$AB$3:$AB$62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xmlns:c15="http://schemas.microsoft.com/office/drawing/2012/chart">
                  <c:ext xmlns:c16="http://schemas.microsoft.com/office/drawing/2014/chart" uri="{C3380CC4-5D6E-409C-BE32-E72D297353CC}">
                    <c16:uniqueId val="{0000000F-F81F-4CE3-B962-37C32542A20A}"/>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DisCartera!$AC$2</c15:sqref>
                        </c15:formulaRef>
                      </c:ext>
                    </c:extLst>
                    <c:strCache>
                      <c:ptCount val="1"/>
                      <c:pt idx="0">
                        <c:v>C</c:v>
                      </c:pt>
                    </c:strCache>
                  </c:strRef>
                </c:tx>
                <c:spPr>
                  <a:solidFill>
                    <a:schemeClr val="accent5">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xmlns:c15="http://schemas.microsoft.com/office/drawing/2012/chart">
                      <c:ext xmlns:c15="http://schemas.microsoft.com/office/drawing/2012/chart" uri="{02D57815-91ED-43cb-92C2-25804820EDAC}">
                        <c15:formulaRef>
                          <c15:sqref>DisCartera!$AC$3:$AC$62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xmlns:c15="http://schemas.microsoft.com/office/drawing/2012/chart">
                  <c:ext xmlns:c16="http://schemas.microsoft.com/office/drawing/2014/chart" uri="{C3380CC4-5D6E-409C-BE32-E72D297353CC}">
                    <c16:uniqueId val="{00000010-F81F-4CE3-B962-37C32542A20A}"/>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DisCartera!$AD$2</c15:sqref>
                        </c15:formulaRef>
                      </c:ext>
                    </c:extLst>
                    <c:strCache>
                      <c:ptCount val="1"/>
                      <c:pt idx="0">
                        <c:v>D</c:v>
                      </c:pt>
                    </c:strCache>
                  </c:strRef>
                </c:tx>
                <c:spPr>
                  <a:solidFill>
                    <a:schemeClr val="accent6">
                      <a:lumMod val="80000"/>
                      <a:lumOff val="20000"/>
                    </a:schemeClr>
                  </a:solidFill>
                  <a:ln>
                    <a:noFill/>
                  </a:ln>
                  <a:effectLst/>
                </c:spPr>
                <c:invertIfNegative val="0"/>
                <c:cat>
                  <c:numRef>
                    <c:extLst xmlns:c15="http://schemas.microsoft.com/office/drawing/2012/chart">
                      <c:ext xmlns:c15="http://schemas.microsoft.com/office/drawing/2012/chart" uri="{02D57815-91ED-43cb-92C2-25804820EDAC}">
                        <c15:formulaRef>
                          <c15:sqref>DisCartera!$L$3:$L$62</c15:sqref>
                        </c15:formulaRef>
                      </c:ext>
                    </c:extLst>
                    <c:numCache>
                      <c:formatCode>[$-C0A]mmm\-yy;@</c:formatCode>
                      <c:ptCount val="60"/>
                      <c:pt idx="0">
                        <c:v>43100</c:v>
                      </c:pt>
                      <c:pt idx="1">
                        <c:v>43131</c:v>
                      </c:pt>
                      <c:pt idx="2">
                        <c:v>43159</c:v>
                      </c:pt>
                      <c:pt idx="3">
                        <c:v>43190</c:v>
                      </c:pt>
                      <c:pt idx="4">
                        <c:v>43220</c:v>
                      </c:pt>
                      <c:pt idx="5">
                        <c:v>43251</c:v>
                      </c:pt>
                      <c:pt idx="6">
                        <c:v>43281</c:v>
                      </c:pt>
                      <c:pt idx="7">
                        <c:v>43312</c:v>
                      </c:pt>
                      <c:pt idx="8">
                        <c:v>43343</c:v>
                      </c:pt>
                      <c:pt idx="9">
                        <c:v>43373</c:v>
                      </c:pt>
                      <c:pt idx="10">
                        <c:v>43404</c:v>
                      </c:pt>
                      <c:pt idx="11">
                        <c:v>43434</c:v>
                      </c:pt>
                      <c:pt idx="12">
                        <c:v>43465</c:v>
                      </c:pt>
                      <c:pt idx="13">
                        <c:v>43496</c:v>
                      </c:pt>
                      <c:pt idx="14">
                        <c:v>43524</c:v>
                      </c:pt>
                      <c:pt idx="15">
                        <c:v>43555</c:v>
                      </c:pt>
                      <c:pt idx="16">
                        <c:v>43585</c:v>
                      </c:pt>
                      <c:pt idx="17">
                        <c:v>43616</c:v>
                      </c:pt>
                      <c:pt idx="18">
                        <c:v>43646</c:v>
                      </c:pt>
                      <c:pt idx="19">
                        <c:v>43677</c:v>
                      </c:pt>
                      <c:pt idx="20">
                        <c:v>43708</c:v>
                      </c:pt>
                      <c:pt idx="21">
                        <c:v>43738</c:v>
                      </c:pt>
                      <c:pt idx="22">
                        <c:v>43769</c:v>
                      </c:pt>
                      <c:pt idx="23">
                        <c:v>43799</c:v>
                      </c:pt>
                      <c:pt idx="24">
                        <c:v>43830</c:v>
                      </c:pt>
                      <c:pt idx="25">
                        <c:v>43861</c:v>
                      </c:pt>
                      <c:pt idx="26">
                        <c:v>43890</c:v>
                      </c:pt>
                      <c:pt idx="27">
                        <c:v>43921</c:v>
                      </c:pt>
                      <c:pt idx="28">
                        <c:v>43951</c:v>
                      </c:pt>
                      <c:pt idx="29">
                        <c:v>43982</c:v>
                      </c:pt>
                      <c:pt idx="30">
                        <c:v>44012</c:v>
                      </c:pt>
                      <c:pt idx="31">
                        <c:v>44043</c:v>
                      </c:pt>
                      <c:pt idx="32">
                        <c:v>44074</c:v>
                      </c:pt>
                      <c:pt idx="33">
                        <c:v>44104</c:v>
                      </c:pt>
                      <c:pt idx="34">
                        <c:v>44135</c:v>
                      </c:pt>
                      <c:pt idx="35">
                        <c:v>44165</c:v>
                      </c:pt>
                      <c:pt idx="36">
                        <c:v>44196</c:v>
                      </c:pt>
                      <c:pt idx="37">
                        <c:v>44227</c:v>
                      </c:pt>
                      <c:pt idx="38">
                        <c:v>44255</c:v>
                      </c:pt>
                      <c:pt idx="39">
                        <c:v>44286</c:v>
                      </c:pt>
                      <c:pt idx="40">
                        <c:v>44316</c:v>
                      </c:pt>
                      <c:pt idx="41">
                        <c:v>44347</c:v>
                      </c:pt>
                      <c:pt idx="42">
                        <c:v>44377</c:v>
                      </c:pt>
                      <c:pt idx="43">
                        <c:v>44408</c:v>
                      </c:pt>
                      <c:pt idx="44">
                        <c:v>44439</c:v>
                      </c:pt>
                      <c:pt idx="45">
                        <c:v>44469</c:v>
                      </c:pt>
                      <c:pt idx="46">
                        <c:v>44500</c:v>
                      </c:pt>
                      <c:pt idx="47">
                        <c:v>44530</c:v>
                      </c:pt>
                      <c:pt idx="48">
                        <c:v>44561</c:v>
                      </c:pt>
                      <c:pt idx="49">
                        <c:v>44592</c:v>
                      </c:pt>
                      <c:pt idx="50">
                        <c:v>44620</c:v>
                      </c:pt>
                      <c:pt idx="51">
                        <c:v>44651</c:v>
                      </c:pt>
                      <c:pt idx="52">
                        <c:v>44681</c:v>
                      </c:pt>
                      <c:pt idx="53">
                        <c:v>44712</c:v>
                      </c:pt>
                      <c:pt idx="54">
                        <c:v>44742</c:v>
                      </c:pt>
                      <c:pt idx="55">
                        <c:v>44773</c:v>
                      </c:pt>
                      <c:pt idx="56">
                        <c:v>44804</c:v>
                      </c:pt>
                      <c:pt idx="57">
                        <c:v>44834</c:v>
                      </c:pt>
                      <c:pt idx="58">
                        <c:v>44865</c:v>
                      </c:pt>
                      <c:pt idx="59">
                        <c:v>44895</c:v>
                      </c:pt>
                    </c:numCache>
                  </c:numRef>
                </c:cat>
                <c:val>
                  <c:numRef>
                    <c:extLst xmlns:c15="http://schemas.microsoft.com/office/drawing/2012/chart">
                      <c:ext xmlns:c15="http://schemas.microsoft.com/office/drawing/2012/chart" uri="{02D57815-91ED-43cb-92C2-25804820EDAC}">
                        <c15:formulaRef>
                          <c15:sqref>DisCartera!$AD$3:$AD$62</c15:sqref>
                        </c15:formulaRef>
                      </c:ext>
                    </c:extLst>
                    <c:numCache>
                      <c:formatCode>0.00%</c:formatCode>
                      <c:ptCount val="6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numCache>
                  </c:numRef>
                </c:val>
                <c:extLst xmlns:c15="http://schemas.microsoft.com/office/drawing/2012/chart">
                  <c:ext xmlns:c16="http://schemas.microsoft.com/office/drawing/2014/chart" uri="{C3380CC4-5D6E-409C-BE32-E72D297353CC}">
                    <c16:uniqueId val="{00000011-F81F-4CE3-B962-37C32542A20A}"/>
                  </c:ext>
                </c:extLst>
              </c15:ser>
            </c15:filteredBarSeries>
          </c:ext>
        </c:extLst>
      </c:barChart>
      <c:dateAx>
        <c:axId val="713169536"/>
        <c:scaling>
          <c:orientation val="minMax"/>
        </c:scaling>
        <c:delete val="0"/>
        <c:axPos val="b"/>
        <c:numFmt formatCode="[$-C0A]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720962304"/>
        <c:crosses val="autoZero"/>
        <c:auto val="1"/>
        <c:lblOffset val="100"/>
        <c:baseTimeUnit val="months"/>
      </c:dateAx>
      <c:valAx>
        <c:axId val="72096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crossAx val="7131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24224F"/>
              </a:solidFill>
              <a:latin typeface="Myriad Pro" panose="020B0503030403020204" pitchFamily="34" charset="0"/>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rgbClr val="24224F"/>
          </a:solidFill>
          <a:latin typeface="Myriad Pro" panose="020B0503030403020204" pitchFamily="34" charset="0"/>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PE!$D$1</c:f>
              <c:strCache>
                <c:ptCount val="1"/>
                <c:pt idx="0">
                  <c:v>PE</c:v>
                </c:pt>
              </c:strCache>
            </c:strRef>
          </c:tx>
          <c:spPr>
            <a:ln w="25400">
              <a:solidFill>
                <a:srgbClr val="24224F"/>
              </a:solidFill>
            </a:ln>
          </c:spPr>
          <c:marker>
            <c:symbol val="none"/>
          </c:marker>
          <c:cat>
            <c:numRef>
              <c:f>PE!$C$62:$C$97</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PE!$D$62:$D$97</c:f>
              <c:numCache>
                <c:formatCode>0.000000%</c:formatCode>
                <c:ptCount val="36"/>
                <c:pt idx="0">
                  <c:v>7.9884126020000005E-3</c:v>
                </c:pt>
                <c:pt idx="1">
                  <c:v>6.4124517409999988E-3</c:v>
                </c:pt>
                <c:pt idx="2">
                  <c:v>7.0928777830000008E-3</c:v>
                </c:pt>
                <c:pt idx="3">
                  <c:v>7.5138260349999998E-3</c:v>
                </c:pt>
                <c:pt idx="4">
                  <c:v>7.8283897299999978E-3</c:v>
                </c:pt>
                <c:pt idx="5">
                  <c:v>7.909774430000004E-3</c:v>
                </c:pt>
                <c:pt idx="6">
                  <c:v>7.9423603270000007E-3</c:v>
                </c:pt>
                <c:pt idx="7">
                  <c:v>7.6564557100000019E-3</c:v>
                </c:pt>
                <c:pt idx="8">
                  <c:v>7.6345934099999978E-3</c:v>
                </c:pt>
                <c:pt idx="9">
                  <c:v>7.5071789309999991E-3</c:v>
                </c:pt>
                <c:pt idx="10">
                  <c:v>7.3876518710000059E-3</c:v>
                </c:pt>
                <c:pt idx="11">
                  <c:v>7.6070570639999993E-3</c:v>
                </c:pt>
                <c:pt idx="12">
                  <c:v>7.5019075299999948E-3</c:v>
                </c:pt>
                <c:pt idx="13">
                  <c:v>7.7283858940000016E-3</c:v>
                </c:pt>
                <c:pt idx="14">
                  <c:v>7.5300802170000106E-3</c:v>
                </c:pt>
                <c:pt idx="15">
                  <c:v>9.932662602999999E-3</c:v>
                </c:pt>
                <c:pt idx="16">
                  <c:v>8.485955313999996E-3</c:v>
                </c:pt>
                <c:pt idx="17">
                  <c:v>8.7324946029999958E-3</c:v>
                </c:pt>
                <c:pt idx="18">
                  <c:v>8.5147041389999952E-3</c:v>
                </c:pt>
                <c:pt idx="19">
                  <c:v>8.4801713349999981E-3</c:v>
                </c:pt>
                <c:pt idx="20">
                  <c:v>9.4824979440000061E-3</c:v>
                </c:pt>
                <c:pt idx="21">
                  <c:v>9.6758923089999994E-3</c:v>
                </c:pt>
                <c:pt idx="22">
                  <c:v>9.8951955399999968E-3</c:v>
                </c:pt>
                <c:pt idx="23">
                  <c:v>1.0132413972000012E-2</c:v>
                </c:pt>
                <c:pt idx="24">
                  <c:v>1.0430706501000003E-2</c:v>
                </c:pt>
                <c:pt idx="25">
                  <c:v>1.0139228754E-2</c:v>
                </c:pt>
                <c:pt idx="26">
                  <c:v>9.9781344500000022E-3</c:v>
                </c:pt>
                <c:pt idx="27">
                  <c:v>1.0031836168999995E-2</c:v>
                </c:pt>
                <c:pt idx="28">
                  <c:v>1.008949401E-2</c:v>
                </c:pt>
                <c:pt idx="29">
                  <c:v>1.0337014629999995E-2</c:v>
                </c:pt>
                <c:pt idx="30">
                  <c:v>1.0219569789999999E-2</c:v>
                </c:pt>
                <c:pt idx="31">
                  <c:v>1.0428077629999999E-2</c:v>
                </c:pt>
                <c:pt idx="32">
                  <c:v>1.0616052570000005E-2</c:v>
                </c:pt>
                <c:pt idx="33">
                  <c:v>1.074016184000001E-2</c:v>
                </c:pt>
                <c:pt idx="34">
                  <c:v>1.1085568539999993E-2</c:v>
                </c:pt>
                <c:pt idx="35">
                  <c:v>1.1631734819999998E-2</c:v>
                </c:pt>
              </c:numCache>
            </c:numRef>
          </c:val>
          <c:smooth val="0"/>
          <c:extLst>
            <c:ext xmlns:c16="http://schemas.microsoft.com/office/drawing/2014/chart" uri="{C3380CC4-5D6E-409C-BE32-E72D297353CC}">
              <c16:uniqueId val="{00000000-FB2C-4449-86DA-0378A18AB41F}"/>
            </c:ext>
          </c:extLst>
        </c:ser>
        <c:ser>
          <c:idx val="1"/>
          <c:order val="1"/>
          <c:tx>
            <c:strRef>
              <c:f>PE!$G$1</c:f>
              <c:strCache>
                <c:ptCount val="1"/>
                <c:pt idx="0">
                  <c:v>PE 24 M</c:v>
                </c:pt>
              </c:strCache>
            </c:strRef>
          </c:tx>
          <c:spPr>
            <a:ln>
              <a:prstDash val="dash"/>
            </a:ln>
          </c:spPr>
          <c:marker>
            <c:symbol val="none"/>
          </c:marker>
          <c:cat>
            <c:numRef>
              <c:f>PE!$C$62:$C$97</c:f>
              <c:numCache>
                <c:formatCode>m/d/yyyy</c:formatCode>
                <c:ptCount val="36"/>
                <c:pt idx="0">
                  <c:v>43830</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pt idx="13">
                  <c:v>44227</c:v>
                </c:pt>
                <c:pt idx="14">
                  <c:v>44255</c:v>
                </c:pt>
                <c:pt idx="15">
                  <c:v>44286</c:v>
                </c:pt>
                <c:pt idx="16">
                  <c:v>44316</c:v>
                </c:pt>
                <c:pt idx="17">
                  <c:v>44347</c:v>
                </c:pt>
                <c:pt idx="18">
                  <c:v>44377</c:v>
                </c:pt>
                <c:pt idx="19">
                  <c:v>44408</c:v>
                </c:pt>
                <c:pt idx="20">
                  <c:v>44439</c:v>
                </c:pt>
                <c:pt idx="21">
                  <c:v>44469</c:v>
                </c:pt>
                <c:pt idx="22">
                  <c:v>44500</c:v>
                </c:pt>
                <c:pt idx="23">
                  <c:v>44530</c:v>
                </c:pt>
                <c:pt idx="24">
                  <c:v>44561</c:v>
                </c:pt>
                <c:pt idx="25">
                  <c:v>44592</c:v>
                </c:pt>
                <c:pt idx="26">
                  <c:v>44620</c:v>
                </c:pt>
                <c:pt idx="27">
                  <c:v>44651</c:v>
                </c:pt>
                <c:pt idx="28">
                  <c:v>44681</c:v>
                </c:pt>
                <c:pt idx="29">
                  <c:v>44712</c:v>
                </c:pt>
                <c:pt idx="30">
                  <c:v>44742</c:v>
                </c:pt>
                <c:pt idx="31">
                  <c:v>44773</c:v>
                </c:pt>
                <c:pt idx="32">
                  <c:v>44804</c:v>
                </c:pt>
                <c:pt idx="33">
                  <c:v>44834</c:v>
                </c:pt>
                <c:pt idx="34">
                  <c:v>44865</c:v>
                </c:pt>
                <c:pt idx="35">
                  <c:v>44895</c:v>
                </c:pt>
              </c:numCache>
            </c:numRef>
          </c:cat>
          <c:val>
            <c:numRef>
              <c:f>PE!$G$62:$G$97</c:f>
              <c:numCache>
                <c:formatCode>0.000000%</c:formatCode>
                <c:ptCount val="36"/>
                <c:pt idx="0">
                  <c:v>7.5703200381250016E-3</c:v>
                </c:pt>
                <c:pt idx="1">
                  <c:v>7.4773618046666676E-3</c:v>
                </c:pt>
                <c:pt idx="2">
                  <c:v>7.411816713916667E-3</c:v>
                </c:pt>
                <c:pt idx="3">
                  <c:v>7.3813825280416674E-3</c:v>
                </c:pt>
                <c:pt idx="4">
                  <c:v>7.3777049805000003E-3</c:v>
                </c:pt>
                <c:pt idx="5">
                  <c:v>7.3958111650833346E-3</c:v>
                </c:pt>
                <c:pt idx="6">
                  <c:v>7.4111739716250019E-3</c:v>
                </c:pt>
                <c:pt idx="7">
                  <c:v>7.4415664522500015E-3</c:v>
                </c:pt>
                <c:pt idx="8">
                  <c:v>7.4727292089166687E-3</c:v>
                </c:pt>
                <c:pt idx="9">
                  <c:v>7.5146773668750026E-3</c:v>
                </c:pt>
                <c:pt idx="10">
                  <c:v>7.5352186080833361E-3</c:v>
                </c:pt>
                <c:pt idx="11">
                  <c:v>7.5803370161666691E-3</c:v>
                </c:pt>
                <c:pt idx="12">
                  <c:v>7.5707111697500022E-3</c:v>
                </c:pt>
                <c:pt idx="13">
                  <c:v>7.5960053916666681E-3</c:v>
                </c:pt>
                <c:pt idx="14">
                  <c:v>7.5702646525833356E-3</c:v>
                </c:pt>
                <c:pt idx="15">
                  <c:v>7.6720808701666683E-3</c:v>
                </c:pt>
                <c:pt idx="16">
                  <c:v>7.729116202125001E-3</c:v>
                </c:pt>
                <c:pt idx="17">
                  <c:v>7.8037256459166683E-3</c:v>
                </c:pt>
                <c:pt idx="18">
                  <c:v>7.8462075448333321E-3</c:v>
                </c:pt>
                <c:pt idx="19">
                  <c:v>7.8773668963750005E-3</c:v>
                </c:pt>
                <c:pt idx="20">
                  <c:v>7.9444474763333325E-3</c:v>
                </c:pt>
                <c:pt idx="21">
                  <c:v>8.0199041887916676E-3</c:v>
                </c:pt>
                <c:pt idx="22">
                  <c:v>8.1038785728749993E-3</c:v>
                </c:pt>
                <c:pt idx="23">
                  <c:v>8.1905579597499993E-3</c:v>
                </c:pt>
                <c:pt idx="24">
                  <c:v>8.2923202055416676E-3</c:v>
                </c:pt>
                <c:pt idx="25">
                  <c:v>8.4476025810833345E-3</c:v>
                </c:pt>
                <c:pt idx="26">
                  <c:v>8.5678216088750005E-3</c:v>
                </c:pt>
                <c:pt idx="27">
                  <c:v>8.6727386977916657E-3</c:v>
                </c:pt>
                <c:pt idx="28">
                  <c:v>8.7669513761249995E-3</c:v>
                </c:pt>
                <c:pt idx="29">
                  <c:v>8.8680863844583339E-3</c:v>
                </c:pt>
                <c:pt idx="30">
                  <c:v>8.9629701120833346E-3</c:v>
                </c:pt>
                <c:pt idx="31">
                  <c:v>9.0784543587499999E-3</c:v>
                </c:pt>
                <c:pt idx="32">
                  <c:v>9.2026818237500013E-3</c:v>
                </c:pt>
                <c:pt idx="33">
                  <c:v>9.3373894449583356E-3</c:v>
                </c:pt>
                <c:pt idx="34">
                  <c:v>9.491469306166669E-3</c:v>
                </c:pt>
                <c:pt idx="35">
                  <c:v>9.6591642126666686E-3</c:v>
                </c:pt>
              </c:numCache>
            </c:numRef>
          </c:val>
          <c:smooth val="0"/>
          <c:extLst>
            <c:ext xmlns:c16="http://schemas.microsoft.com/office/drawing/2014/chart" uri="{C3380CC4-5D6E-409C-BE32-E72D297353CC}">
              <c16:uniqueId val="{00000001-FB2C-4449-86DA-0378A18AB41F}"/>
            </c:ext>
          </c:extLst>
        </c:ser>
        <c:dLbls>
          <c:showLegendKey val="0"/>
          <c:showVal val="0"/>
          <c:showCatName val="0"/>
          <c:showSerName val="0"/>
          <c:showPercent val="0"/>
          <c:showBubbleSize val="0"/>
        </c:dLbls>
        <c:smooth val="0"/>
        <c:axId val="711219072"/>
        <c:axId val="711221248"/>
      </c:lineChart>
      <c:dateAx>
        <c:axId val="711219072"/>
        <c:scaling>
          <c:orientation val="minMax"/>
        </c:scaling>
        <c:delete val="0"/>
        <c:axPos val="b"/>
        <c:numFmt formatCode="[$-C0A]mmm\-yy;@" sourceLinked="0"/>
        <c:majorTickMark val="out"/>
        <c:minorTickMark val="none"/>
        <c:tickLblPos val="nextTo"/>
        <c:crossAx val="711221248"/>
        <c:crosses val="autoZero"/>
        <c:auto val="1"/>
        <c:lblOffset val="100"/>
        <c:baseTimeUnit val="months"/>
        <c:majorUnit val="1"/>
      </c:dateAx>
      <c:valAx>
        <c:axId val="711221248"/>
        <c:scaling>
          <c:orientation val="minMax"/>
        </c:scaling>
        <c:delete val="0"/>
        <c:axPos val="l"/>
        <c:majorGridlines>
          <c:spPr>
            <a:ln>
              <a:solidFill>
                <a:schemeClr val="tx2">
                  <a:lumMod val="20000"/>
                  <a:lumOff val="80000"/>
                </a:schemeClr>
              </a:solidFill>
            </a:ln>
          </c:spPr>
        </c:majorGridlines>
        <c:numFmt formatCode="0.0000%" sourceLinked="0"/>
        <c:majorTickMark val="out"/>
        <c:minorTickMark val="none"/>
        <c:tickLblPos val="nextTo"/>
        <c:crossAx val="711219072"/>
        <c:crosses val="autoZero"/>
        <c:crossBetween val="between"/>
      </c:valAx>
    </c:plotArea>
    <c:legend>
      <c:legendPos val="b"/>
      <c:overlay val="0"/>
    </c:legend>
    <c:plotVisOnly val="1"/>
    <c:dispBlanksAs val="gap"/>
    <c:showDLblsOverMax val="0"/>
  </c:chart>
  <c:spPr>
    <a:noFill/>
    <a:ln>
      <a:noFill/>
    </a:ln>
  </c:spPr>
  <c:txPr>
    <a:bodyPr/>
    <a:lstStyle/>
    <a:p>
      <a:pPr>
        <a:defRPr sz="800">
          <a:solidFill>
            <a:srgbClr val="24224F"/>
          </a:solidFill>
          <a:latin typeface="Myriad Pro" panose="020B0503030403020204" pitchFamily="34" charset="0"/>
        </a:defRPr>
      </a:pPr>
      <a:endParaRPr lang="es-C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Duration!$D$1</c:f>
              <c:strCache>
                <c:ptCount val="1"/>
                <c:pt idx="0">
                  <c:v>Duration</c:v>
                </c:pt>
              </c:strCache>
            </c:strRef>
          </c:tx>
          <c:spPr>
            <a:ln w="28575" cap="rnd">
              <a:solidFill>
                <a:srgbClr val="333D6B"/>
              </a:solidFill>
              <a:round/>
            </a:ln>
            <a:effectLst/>
          </c:spPr>
          <c:marker>
            <c:symbol val="none"/>
          </c:marker>
          <c:cat>
            <c:numRef>
              <c:f>Duration!$C$2:$C$36</c:f>
              <c:numCache>
                <c:formatCode>mmm\-yy</c:formatCode>
                <c:ptCount val="35"/>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numCache>
            </c:numRef>
          </c:cat>
          <c:val>
            <c:numRef>
              <c:f>Duration!$D$2:$D$36</c:f>
              <c:numCache>
                <c:formatCode>_-* #,##0_-;\-* #,##0_-;_-* "-"??_-;_-@_-</c:formatCode>
                <c:ptCount val="35"/>
                <c:pt idx="0">
                  <c:v>2400</c:v>
                </c:pt>
                <c:pt idx="1">
                  <c:v>2472</c:v>
                </c:pt>
                <c:pt idx="2">
                  <c:v>2519</c:v>
                </c:pt>
                <c:pt idx="3">
                  <c:v>2549</c:v>
                </c:pt>
                <c:pt idx="4">
                  <c:v>2670</c:v>
                </c:pt>
                <c:pt idx="5">
                  <c:v>2703</c:v>
                </c:pt>
                <c:pt idx="6">
                  <c:v>2750</c:v>
                </c:pt>
                <c:pt idx="7">
                  <c:v>2709</c:v>
                </c:pt>
                <c:pt idx="8">
                  <c:v>2713</c:v>
                </c:pt>
                <c:pt idx="9">
                  <c:v>2713</c:v>
                </c:pt>
                <c:pt idx="10">
                  <c:v>2745</c:v>
                </c:pt>
                <c:pt idx="11">
                  <c:v>2748</c:v>
                </c:pt>
                <c:pt idx="12">
                  <c:v>2743.924423271927</c:v>
                </c:pt>
                <c:pt idx="13">
                  <c:v>2623.2454191591632</c:v>
                </c:pt>
                <c:pt idx="14">
                  <c:v>2674.9247853540414</c:v>
                </c:pt>
                <c:pt idx="15">
                  <c:v>2695.3360992875664</c:v>
                </c:pt>
                <c:pt idx="16">
                  <c:v>2520.156070773286</c:v>
                </c:pt>
                <c:pt idx="17">
                  <c:v>2494.9955622447033</c:v>
                </c:pt>
                <c:pt idx="18">
                  <c:v>2507.844086700235</c:v>
                </c:pt>
                <c:pt idx="19">
                  <c:v>2517.6174737344181</c:v>
                </c:pt>
                <c:pt idx="20">
                  <c:v>2492.4164869437986</c:v>
                </c:pt>
                <c:pt idx="21">
                  <c:v>2521.3240619676603</c:v>
                </c:pt>
                <c:pt idx="22">
                  <c:v>2422.4716881096024</c:v>
                </c:pt>
                <c:pt idx="23">
                  <c:v>2446.1238181564272</c:v>
                </c:pt>
                <c:pt idx="24">
                  <c:v>2409.9609855914937</c:v>
                </c:pt>
                <c:pt idx="25">
                  <c:v>2372.6959684880812</c:v>
                </c:pt>
                <c:pt idx="26">
                  <c:v>2369.8765470115995</c:v>
                </c:pt>
                <c:pt idx="27">
                  <c:v>2376.8822300324973</c:v>
                </c:pt>
                <c:pt idx="28">
                  <c:v>2414.6280987812879</c:v>
                </c:pt>
                <c:pt idx="29">
                  <c:v>2357.6610751172907</c:v>
                </c:pt>
                <c:pt idx="30">
                  <c:v>2346.4524701506953</c:v>
                </c:pt>
                <c:pt idx="31">
                  <c:v>2435.7093044966014</c:v>
                </c:pt>
                <c:pt idx="32">
                  <c:v>2381.3870973512621</c:v>
                </c:pt>
                <c:pt idx="33">
                  <c:v>2419.2040828338195</c:v>
                </c:pt>
                <c:pt idx="34">
                  <c:v>2511.9779476113599</c:v>
                </c:pt>
              </c:numCache>
            </c:numRef>
          </c:val>
          <c:smooth val="0"/>
          <c:extLst>
            <c:ext xmlns:c16="http://schemas.microsoft.com/office/drawing/2014/chart" uri="{C3380CC4-5D6E-409C-BE32-E72D297353CC}">
              <c16:uniqueId val="{00000000-1C4B-42CC-BE81-BCE3F2D99025}"/>
            </c:ext>
          </c:extLst>
        </c:ser>
        <c:dLbls>
          <c:showLegendKey val="0"/>
          <c:showVal val="0"/>
          <c:showCatName val="0"/>
          <c:showSerName val="0"/>
          <c:showPercent val="0"/>
          <c:showBubbleSize val="0"/>
        </c:dLbls>
        <c:smooth val="0"/>
        <c:axId val="748306984"/>
        <c:axId val="748308952"/>
      </c:lineChart>
      <c:dateAx>
        <c:axId val="7483069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crossAx val="748308952"/>
        <c:crosses val="autoZero"/>
        <c:auto val="1"/>
        <c:lblOffset val="100"/>
        <c:baseTimeUnit val="months"/>
      </c:dateAx>
      <c:valAx>
        <c:axId val="7483089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crossAx val="748306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333D6B"/>
              </a:solidFill>
              <a:latin typeface="Myriad Pro" panose="020B0503030403020204" pitchFamily="34" charset="0"/>
              <a:ea typeface="+mn-ea"/>
              <a:cs typeface="+mn-cs"/>
            </a:defRPr>
          </a:pPr>
          <a:endParaRPr lang="es-CL"/>
        </a:p>
      </c:txPr>
    </c:legend>
    <c:plotVisOnly val="1"/>
    <c:dispBlanksAs val="gap"/>
    <c:showDLblsOverMax val="0"/>
  </c:chart>
  <c:spPr>
    <a:noFill/>
    <a:ln w="9525" cap="flat" cmpd="sng" algn="ctr">
      <a:noFill/>
      <a:round/>
    </a:ln>
    <a:effectLst/>
  </c:spPr>
  <c:txPr>
    <a:bodyPr/>
    <a:lstStyle/>
    <a:p>
      <a:pPr>
        <a:defRPr sz="800">
          <a:solidFill>
            <a:srgbClr val="333D6B"/>
          </a:solidFill>
          <a:latin typeface="Myriad Pro" panose="020B0503030403020204" pitchFamily="34" charset="0"/>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9e16e2b-536e-4ba6-8b65-f83ed8ecd0d0">
      <UserInfo>
        <DisplayName>Ignacio Muñoz</DisplayName>
        <AccountId>16</AccountId>
        <AccountType/>
      </UserInfo>
      <UserInfo>
        <DisplayName>Hernan Jimenez</DisplayName>
        <AccountId>6</AccountId>
        <AccountType/>
      </UserInfo>
      <UserInfo>
        <DisplayName>Sebastian Arriagada</DisplayName>
        <AccountId>15</AccountId>
        <AccountType/>
      </UserInfo>
      <UserInfo>
        <DisplayName>Nadia Aravena</DisplayName>
        <AccountId>763</AccountId>
        <AccountType/>
      </UserInfo>
      <UserInfo>
        <DisplayName>María José Durán</DisplayName>
        <AccountId>996</AccountId>
        <AccountType/>
      </UserInfo>
    </SharedWithUsers>
    <lcf76f155ced4ddcb4097134ff3c332f xmlns="062e06a3-a47a-4d74-ab6e-dc8498fe9bfc">
      <Terms xmlns="http://schemas.microsoft.com/office/infopath/2007/PartnerControls"/>
    </lcf76f155ced4ddcb4097134ff3c332f>
    <TaxCatchAll xmlns="29e16e2b-536e-4ba6-8b65-f83ed8ecd0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0905DB7D4E84E80456A9A86E9113E" ma:contentTypeVersion="16" ma:contentTypeDescription="Create a new document." ma:contentTypeScope="" ma:versionID="5cc7069df6890470455cd1cbdd8c9923">
  <xsd:schema xmlns:xsd="http://www.w3.org/2001/XMLSchema" xmlns:xs="http://www.w3.org/2001/XMLSchema" xmlns:p="http://schemas.microsoft.com/office/2006/metadata/properties" xmlns:ns2="062e06a3-a47a-4d74-ab6e-dc8498fe9bfc" xmlns:ns3="29e16e2b-536e-4ba6-8b65-f83ed8ecd0d0" targetNamespace="http://schemas.microsoft.com/office/2006/metadata/properties" ma:root="true" ma:fieldsID="ac9ee920dcabd4999942ee8052125bff" ns2:_="" ns3:_="">
    <xsd:import namespace="062e06a3-a47a-4d74-ab6e-dc8498fe9bfc"/>
    <xsd:import namespace="29e16e2b-536e-4ba6-8b65-f83ed8ecd0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e06a3-a47a-4d74-ab6e-dc8498fe9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f0392-8baa-491d-b2a2-c4fb6934a46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9e16e2b-536e-4ba6-8b65-f83ed8ecd0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f90e3b-85a9-47ab-be84-b1eb36ad7fe0}" ma:internalName="TaxCatchAll" ma:showField="CatchAllData" ma:web="29e16e2b-536e-4ba6-8b65-f83ed8ecd0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BDDA3-D744-5842-8BF0-CD2BFCE4E29D}">
  <ds:schemaRefs>
    <ds:schemaRef ds:uri="http://schemas.openxmlformats.org/officeDocument/2006/bibliography"/>
  </ds:schemaRefs>
</ds:datastoreItem>
</file>

<file path=customXml/itemProps2.xml><?xml version="1.0" encoding="utf-8"?>
<ds:datastoreItem xmlns:ds="http://schemas.openxmlformats.org/officeDocument/2006/customXml" ds:itemID="{6576FE22-6F3B-4F9C-A740-A65E5BCE55CB}">
  <ds:schemaRefs>
    <ds:schemaRef ds:uri="http://schemas.microsoft.com/office/2006/metadata/properties"/>
    <ds:schemaRef ds:uri="http://schemas.microsoft.com/office/infopath/2007/PartnerControls"/>
    <ds:schemaRef ds:uri="29e16e2b-536e-4ba6-8b65-f83ed8ecd0d0"/>
    <ds:schemaRef ds:uri="062e06a3-a47a-4d74-ab6e-dc8498fe9bfc"/>
  </ds:schemaRefs>
</ds:datastoreItem>
</file>

<file path=customXml/itemProps3.xml><?xml version="1.0" encoding="utf-8"?>
<ds:datastoreItem xmlns:ds="http://schemas.openxmlformats.org/officeDocument/2006/customXml" ds:itemID="{244F94EA-5AD7-46BD-B5A9-3975ABA2F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e06a3-a47a-4d74-ab6e-dc8498fe9bfc"/>
    <ds:schemaRef ds:uri="29e16e2b-536e-4ba6-8b65-f83ed8ecd0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1ED6A4-0885-4D69-ACFC-FEA8CA2763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 Informe_2</Template>
  <TotalTime>10</TotalTime>
  <Pages>17</Pages>
  <Words>5126</Words>
  <Characters>28198</Characters>
  <Application>Microsoft Office Word</Application>
  <DocSecurity>0</DocSecurity>
  <Lines>234</Lines>
  <Paragraphs>66</Paragraphs>
  <ScaleCrop>false</ScaleCrop>
  <Company/>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Fondo Mutuo Banchile Renta Corto Plazo 2021</dc:title>
  <dc:subject/>
  <dc:creator>Monica Vaccaro</dc:creator>
  <cp:keywords/>
  <dc:description/>
  <cp:lastModifiedBy>Margarita Andrade</cp:lastModifiedBy>
  <cp:revision>12</cp:revision>
  <cp:lastPrinted>2023-01-30T14:00:00Z</cp:lastPrinted>
  <dcterms:created xsi:type="dcterms:W3CDTF">2023-01-30T21:11:00Z</dcterms:created>
  <dcterms:modified xsi:type="dcterms:W3CDTF">2023-02-07T19:56:00Z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0x01010049E0905DB7D4E84E80456A9A86E9113E</vt:lpwstr>
  </property>
  <property fmtid="{D5CDD505-2E9C-101B-9397-08002B2CF9AE}" pid="3" name="MediaServiceImageTags">
    <vt:lpwstr/>
  </property>
</Properties>
</file>